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宋体" w:hAnsi="宋体"/>
        </w:rPr>
      </w:pPr>
    </w:p>
    <w:p>
      <w:pPr>
        <w:spacing w:line="550" w:lineRule="exact"/>
        <w:rPr>
          <w:rFonts w:ascii="宋体" w:hAnsi="宋体"/>
        </w:rPr>
      </w:pPr>
    </w:p>
    <w:p>
      <w:pPr>
        <w:spacing w:line="550" w:lineRule="exact"/>
        <w:rPr>
          <w:rFonts w:ascii="宋体" w:hAnsi="宋体"/>
          <w:szCs w:val="32"/>
        </w:rPr>
      </w:pPr>
    </w:p>
    <w:p>
      <w:pPr>
        <w:spacing w:line="550" w:lineRule="exact"/>
        <w:rPr>
          <w:rFonts w:ascii="宋体" w:hAnsi="宋体"/>
          <w:szCs w:val="32"/>
        </w:rPr>
      </w:pPr>
    </w:p>
    <w:p>
      <w:pPr>
        <w:spacing w:afterLines="50" w:line="550" w:lineRule="exact"/>
        <w:rPr>
          <w:rFonts w:ascii="宋体" w:hAnsi="宋体"/>
          <w:spacing w:val="-8"/>
          <w:sz w:val="52"/>
          <w:szCs w:val="52"/>
          <w:u w:val="single"/>
        </w:rPr>
      </w:pPr>
    </w:p>
    <w:p>
      <w:pPr>
        <w:spacing w:afterLines="50" w:line="550" w:lineRule="exact"/>
        <w:rPr>
          <w:rFonts w:ascii="宋体" w:hAnsi="宋体"/>
          <w:spacing w:val="-8"/>
          <w:sz w:val="52"/>
          <w:szCs w:val="52"/>
          <w:u w:val="single"/>
        </w:rPr>
      </w:pPr>
    </w:p>
    <w:p>
      <w:pPr>
        <w:spacing w:afterLines="50" w:line="550" w:lineRule="exact"/>
        <w:rPr>
          <w:rFonts w:ascii="宋体" w:hAnsi="宋体"/>
          <w:spacing w:val="-8"/>
          <w:sz w:val="52"/>
          <w:szCs w:val="52"/>
          <w:u w:val="single"/>
        </w:rPr>
      </w:pPr>
    </w:p>
    <w:p>
      <w:pPr>
        <w:spacing w:afterLines="50" w:line="550" w:lineRule="exact"/>
        <w:rPr>
          <w:rFonts w:ascii="宋体" w:hAnsi="宋体"/>
          <w:spacing w:val="-8"/>
          <w:sz w:val="52"/>
          <w:szCs w:val="52"/>
          <w:u w:val="single"/>
        </w:rPr>
      </w:pPr>
    </w:p>
    <w:p>
      <w:pPr>
        <w:spacing w:afterLines="50" w:line="550" w:lineRule="exact"/>
        <w:jc w:val="center"/>
        <w:rPr>
          <w:b/>
          <w:sz w:val="52"/>
        </w:rPr>
      </w:pPr>
      <w:r>
        <w:rPr>
          <w:b/>
          <w:sz w:val="52"/>
        </w:rPr>
        <w:t>南京市雨花台区人民检察院</w:t>
      </w:r>
    </w:p>
    <w:p>
      <w:pPr>
        <w:spacing w:afterLines="50" w:line="550" w:lineRule="exact"/>
        <w:jc w:val="center"/>
        <w:rPr>
          <w:rFonts w:ascii="宋体" w:hAnsi="宋体"/>
          <w:spacing w:val="-8"/>
          <w:sz w:val="52"/>
          <w:szCs w:val="52"/>
        </w:rPr>
      </w:pPr>
      <w:r>
        <w:rPr>
          <w:b/>
          <w:sz w:val="52"/>
        </w:rPr>
        <w:t>2021年度部门预算公开</w:t>
      </w: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left"/>
        <w:rPr>
          <w:rFonts w:ascii="宋体" w:hAnsi="宋体"/>
          <w:spacing w:val="-8"/>
          <w:sz w:val="52"/>
          <w:szCs w:val="52"/>
        </w:rPr>
      </w:pPr>
    </w:p>
    <w:p>
      <w:pPr>
        <w:spacing w:afterLines="50" w:line="550" w:lineRule="exact"/>
        <w:jc w:val="center"/>
        <w:rPr>
          <w:rFonts w:ascii="宋体" w:hAnsi="宋体"/>
          <w:b/>
          <w:bCs/>
          <w:sz w:val="44"/>
          <w:szCs w:val="44"/>
        </w:rPr>
      </w:pPr>
      <w:r>
        <w:rPr>
          <w:rFonts w:ascii="宋体" w:hAnsi="宋体"/>
          <w:spacing w:val="-8"/>
          <w:sz w:val="52"/>
          <w:szCs w:val="52"/>
        </w:rPr>
        <w:br w:type="page"/>
      </w:r>
      <w:r>
        <w:rPr>
          <w:rFonts w:ascii="宋体" w:hAnsi="宋体"/>
          <w:b/>
          <w:bCs/>
          <w:sz w:val="44"/>
          <w:szCs w:val="44"/>
        </w:rPr>
        <w:t>目  录</w:t>
      </w:r>
    </w:p>
    <w:p>
      <w:pPr>
        <w:spacing w:line="550" w:lineRule="exact"/>
        <w:rPr>
          <w:rFonts w:ascii="宋体" w:hAnsi="宋体"/>
          <w:szCs w:val="32"/>
        </w:rPr>
      </w:pPr>
    </w:p>
    <w:p>
      <w:pPr>
        <w:autoSpaceDE w:val="0"/>
        <w:autoSpaceDN w:val="0"/>
        <w:snapToGrid w:val="0"/>
        <w:spacing w:line="550" w:lineRule="exact"/>
        <w:rPr>
          <w:rFonts w:ascii="宋体" w:hAnsi="宋体"/>
          <w:b/>
          <w:bCs/>
          <w:kern w:val="0"/>
        </w:rPr>
      </w:pPr>
      <w:r>
        <w:rPr>
          <w:rFonts w:ascii="宋体" w:hAnsi="宋体"/>
          <w:b/>
          <w:bCs/>
          <w:kern w:val="0"/>
        </w:rPr>
        <w:t>第一部分 部门概况</w:t>
      </w:r>
    </w:p>
    <w:p>
      <w:pPr>
        <w:autoSpaceDE w:val="0"/>
        <w:autoSpaceDN w:val="0"/>
        <w:snapToGrid w:val="0"/>
        <w:spacing w:line="550" w:lineRule="exact"/>
        <w:rPr>
          <w:rFonts w:ascii="宋体" w:hAnsi="宋体"/>
          <w:kern w:val="0"/>
        </w:rPr>
      </w:pPr>
      <w:r>
        <w:rPr>
          <w:rFonts w:ascii="宋体" w:hAnsi="宋体"/>
          <w:kern w:val="0"/>
        </w:rPr>
        <w:t>一、主要职能</w:t>
      </w:r>
    </w:p>
    <w:p>
      <w:pPr>
        <w:autoSpaceDE w:val="0"/>
        <w:autoSpaceDN w:val="0"/>
        <w:snapToGrid w:val="0"/>
        <w:spacing w:line="550" w:lineRule="exact"/>
        <w:rPr>
          <w:rFonts w:ascii="宋体" w:hAnsi="宋体"/>
          <w:kern w:val="0"/>
        </w:rPr>
      </w:pPr>
      <w:r>
        <w:rPr>
          <w:rFonts w:ascii="宋体" w:hAnsi="宋体"/>
          <w:kern w:val="0"/>
        </w:rPr>
        <w:t>二、部门机构设置及预算单位构成情况</w:t>
      </w:r>
    </w:p>
    <w:p>
      <w:pPr>
        <w:autoSpaceDE w:val="0"/>
        <w:autoSpaceDN w:val="0"/>
        <w:snapToGrid w:val="0"/>
        <w:spacing w:line="550" w:lineRule="exact"/>
        <w:rPr>
          <w:rFonts w:ascii="宋体" w:hAnsi="宋体"/>
          <w:kern w:val="0"/>
        </w:rPr>
      </w:pPr>
      <w:r>
        <w:rPr>
          <w:rFonts w:ascii="宋体" w:hAnsi="宋体"/>
          <w:kern w:val="0"/>
        </w:rPr>
        <w:t>三、2021年度部门主要工作任务及目标</w:t>
      </w:r>
    </w:p>
    <w:p>
      <w:pPr>
        <w:autoSpaceDE w:val="0"/>
        <w:autoSpaceDN w:val="0"/>
        <w:snapToGrid w:val="0"/>
        <w:spacing w:line="550" w:lineRule="exact"/>
        <w:rPr>
          <w:rFonts w:ascii="宋体" w:hAnsi="宋体"/>
          <w:b/>
          <w:bCs/>
          <w:kern w:val="0"/>
        </w:rPr>
      </w:pPr>
      <w:r>
        <w:rPr>
          <w:rFonts w:ascii="宋体" w:hAnsi="宋体"/>
          <w:b/>
          <w:bCs/>
          <w:kern w:val="0"/>
        </w:rPr>
        <w:t>第二部分 2021年度部门预算表</w:t>
      </w:r>
    </w:p>
    <w:p>
      <w:pPr>
        <w:autoSpaceDE w:val="0"/>
        <w:autoSpaceDN w:val="0"/>
        <w:snapToGrid w:val="0"/>
        <w:spacing w:line="550" w:lineRule="exact"/>
        <w:rPr>
          <w:rFonts w:ascii="宋体" w:hAnsi="宋体"/>
          <w:kern w:val="0"/>
        </w:rPr>
      </w:pPr>
      <w:r>
        <w:rPr>
          <w:rFonts w:ascii="宋体" w:hAnsi="宋体"/>
          <w:kern w:val="0"/>
        </w:rPr>
        <w:t>一、收支总表</w:t>
      </w:r>
    </w:p>
    <w:p>
      <w:pPr>
        <w:autoSpaceDE w:val="0"/>
        <w:autoSpaceDN w:val="0"/>
        <w:snapToGrid w:val="0"/>
        <w:spacing w:line="550" w:lineRule="exact"/>
        <w:rPr>
          <w:rFonts w:ascii="宋体" w:hAnsi="宋体"/>
          <w:kern w:val="0"/>
        </w:rPr>
      </w:pPr>
      <w:r>
        <w:rPr>
          <w:rFonts w:ascii="宋体" w:hAnsi="宋体"/>
          <w:kern w:val="0"/>
        </w:rPr>
        <w:t>二、收入总表</w:t>
      </w:r>
    </w:p>
    <w:p>
      <w:pPr>
        <w:autoSpaceDE w:val="0"/>
        <w:autoSpaceDN w:val="0"/>
        <w:snapToGrid w:val="0"/>
        <w:spacing w:line="550" w:lineRule="exact"/>
        <w:rPr>
          <w:rFonts w:ascii="宋体" w:hAnsi="宋体"/>
          <w:kern w:val="0"/>
        </w:rPr>
      </w:pPr>
      <w:r>
        <w:rPr>
          <w:rFonts w:ascii="宋体" w:hAnsi="宋体"/>
          <w:kern w:val="0"/>
        </w:rPr>
        <w:t>三、支出总表</w:t>
      </w:r>
    </w:p>
    <w:p>
      <w:pPr>
        <w:autoSpaceDE w:val="0"/>
        <w:autoSpaceDN w:val="0"/>
        <w:snapToGrid w:val="0"/>
        <w:spacing w:line="550" w:lineRule="exact"/>
        <w:rPr>
          <w:rFonts w:ascii="宋体" w:hAnsi="宋体"/>
          <w:kern w:val="0"/>
        </w:rPr>
      </w:pPr>
      <w:r>
        <w:rPr>
          <w:rFonts w:ascii="宋体" w:hAnsi="宋体"/>
          <w:kern w:val="0"/>
        </w:rPr>
        <w:t>四、财政拨款收支总表</w:t>
      </w:r>
    </w:p>
    <w:p>
      <w:pPr>
        <w:autoSpaceDE w:val="0"/>
        <w:autoSpaceDN w:val="0"/>
        <w:snapToGrid w:val="0"/>
        <w:spacing w:line="550" w:lineRule="exact"/>
        <w:rPr>
          <w:rFonts w:ascii="宋体" w:hAnsi="宋体"/>
          <w:kern w:val="0"/>
        </w:rPr>
      </w:pPr>
      <w:r>
        <w:rPr>
          <w:rFonts w:ascii="宋体" w:hAnsi="宋体"/>
          <w:kern w:val="0"/>
        </w:rPr>
        <w:t>五、财政拨款支出表</w:t>
      </w:r>
      <w:r>
        <w:rPr>
          <w:rFonts w:hint="eastAsia" w:ascii="宋体" w:hAnsi="宋体"/>
          <w:kern w:val="0"/>
          <w:szCs w:val="32"/>
        </w:rPr>
        <w:t>（功能</w:t>
      </w:r>
      <w:r>
        <w:rPr>
          <w:rFonts w:ascii="宋体" w:hAnsi="宋体"/>
          <w:kern w:val="0"/>
          <w:szCs w:val="32"/>
        </w:rPr>
        <w:t>科目</w:t>
      </w:r>
      <w:r>
        <w:rPr>
          <w:rFonts w:hint="eastAsia" w:ascii="宋体" w:hAnsi="宋体"/>
          <w:kern w:val="0"/>
          <w:szCs w:val="32"/>
        </w:rPr>
        <w:t>）</w:t>
      </w:r>
    </w:p>
    <w:p>
      <w:pPr>
        <w:autoSpaceDE w:val="0"/>
        <w:autoSpaceDN w:val="0"/>
        <w:snapToGrid w:val="0"/>
        <w:spacing w:line="550" w:lineRule="exact"/>
        <w:rPr>
          <w:rFonts w:ascii="宋体" w:hAnsi="宋体"/>
          <w:kern w:val="0"/>
        </w:rPr>
      </w:pPr>
      <w:r>
        <w:rPr>
          <w:rFonts w:ascii="宋体" w:hAnsi="宋体"/>
          <w:kern w:val="0"/>
        </w:rPr>
        <w:t>六、财政拨款基本支出表</w:t>
      </w:r>
      <w:r>
        <w:rPr>
          <w:rFonts w:hint="eastAsia" w:ascii="宋体" w:hAnsi="宋体"/>
          <w:kern w:val="0"/>
          <w:szCs w:val="32"/>
        </w:rPr>
        <w:t>（经济</w:t>
      </w:r>
      <w:r>
        <w:rPr>
          <w:rFonts w:ascii="宋体" w:hAnsi="宋体"/>
          <w:kern w:val="0"/>
          <w:szCs w:val="32"/>
        </w:rPr>
        <w:t>科目</w:t>
      </w:r>
      <w:r>
        <w:rPr>
          <w:rFonts w:hint="eastAsia" w:ascii="宋体" w:hAnsi="宋体"/>
          <w:kern w:val="0"/>
          <w:szCs w:val="32"/>
        </w:rPr>
        <w:t>）</w:t>
      </w:r>
    </w:p>
    <w:p>
      <w:pPr>
        <w:autoSpaceDE w:val="0"/>
        <w:autoSpaceDN w:val="0"/>
        <w:snapToGrid w:val="0"/>
        <w:spacing w:line="550" w:lineRule="exact"/>
        <w:rPr>
          <w:rFonts w:ascii="宋体" w:hAnsi="宋体"/>
          <w:kern w:val="0"/>
        </w:rPr>
      </w:pPr>
      <w:r>
        <w:rPr>
          <w:rFonts w:ascii="宋体" w:hAnsi="宋体"/>
          <w:kern w:val="0"/>
        </w:rPr>
        <w:t>七、一般公共预算支出表</w:t>
      </w:r>
    </w:p>
    <w:p>
      <w:pPr>
        <w:autoSpaceDE w:val="0"/>
        <w:autoSpaceDN w:val="0"/>
        <w:snapToGrid w:val="0"/>
        <w:spacing w:line="550" w:lineRule="exact"/>
        <w:rPr>
          <w:rFonts w:ascii="宋体" w:hAnsi="宋体"/>
          <w:kern w:val="0"/>
        </w:rPr>
      </w:pPr>
      <w:r>
        <w:rPr>
          <w:rFonts w:ascii="宋体" w:hAnsi="宋体"/>
          <w:kern w:val="0"/>
        </w:rPr>
        <w:t>八、一般公共预算基本支出表</w:t>
      </w:r>
    </w:p>
    <w:p>
      <w:pPr>
        <w:autoSpaceDE w:val="0"/>
        <w:autoSpaceDN w:val="0"/>
        <w:snapToGrid w:val="0"/>
        <w:spacing w:line="550" w:lineRule="exact"/>
        <w:rPr>
          <w:rFonts w:ascii="宋体" w:hAnsi="宋体"/>
          <w:kern w:val="0"/>
        </w:rPr>
      </w:pPr>
      <w:r>
        <w:rPr>
          <w:rFonts w:ascii="宋体" w:hAnsi="宋体"/>
          <w:spacing w:val="-8"/>
          <w:kern w:val="0"/>
        </w:rPr>
        <w:t>九、一般公共预算“三公”经费、会议费、培训费支出表</w:t>
      </w:r>
    </w:p>
    <w:p>
      <w:pPr>
        <w:autoSpaceDE w:val="0"/>
        <w:autoSpaceDN w:val="0"/>
        <w:snapToGrid w:val="0"/>
        <w:spacing w:line="550" w:lineRule="exact"/>
        <w:rPr>
          <w:rFonts w:ascii="宋体" w:hAnsi="宋体"/>
          <w:kern w:val="0"/>
        </w:rPr>
      </w:pPr>
      <w:r>
        <w:rPr>
          <w:rFonts w:ascii="宋体" w:hAnsi="宋体"/>
          <w:kern w:val="0"/>
        </w:rPr>
        <w:t>十、政府性基金预算支出表</w:t>
      </w:r>
    </w:p>
    <w:p>
      <w:pPr>
        <w:autoSpaceDE w:val="0"/>
        <w:autoSpaceDN w:val="0"/>
        <w:snapToGrid w:val="0"/>
        <w:spacing w:line="550" w:lineRule="exact"/>
        <w:rPr>
          <w:rFonts w:ascii="宋体" w:hAnsi="宋体"/>
          <w:kern w:val="0"/>
        </w:rPr>
      </w:pPr>
      <w:r>
        <w:rPr>
          <w:rFonts w:ascii="宋体" w:hAnsi="宋体"/>
          <w:kern w:val="0"/>
        </w:rPr>
        <w:t>十一、一般公共预算机关运行经费支出表</w:t>
      </w:r>
    </w:p>
    <w:p>
      <w:pPr>
        <w:autoSpaceDE w:val="0"/>
        <w:autoSpaceDN w:val="0"/>
        <w:snapToGrid w:val="0"/>
        <w:spacing w:line="550" w:lineRule="exact"/>
        <w:rPr>
          <w:rFonts w:ascii="宋体" w:hAnsi="宋体"/>
          <w:kern w:val="0"/>
        </w:rPr>
      </w:pPr>
      <w:r>
        <w:rPr>
          <w:rFonts w:ascii="宋体" w:hAnsi="宋体"/>
          <w:kern w:val="0"/>
        </w:rPr>
        <w:t>十二、政府采购支出表</w:t>
      </w:r>
    </w:p>
    <w:p>
      <w:pPr>
        <w:autoSpaceDE w:val="0"/>
        <w:autoSpaceDN w:val="0"/>
        <w:snapToGrid w:val="0"/>
        <w:spacing w:line="550" w:lineRule="exact"/>
        <w:rPr>
          <w:rFonts w:ascii="宋体" w:hAnsi="宋体"/>
          <w:b/>
          <w:bCs/>
          <w:kern w:val="0"/>
        </w:rPr>
      </w:pPr>
      <w:r>
        <w:rPr>
          <w:rFonts w:ascii="宋体" w:hAnsi="宋体"/>
          <w:b/>
          <w:bCs/>
          <w:kern w:val="0"/>
        </w:rPr>
        <w:t>第三部分 2021年度部门预算情况说明</w:t>
      </w:r>
    </w:p>
    <w:p>
      <w:pPr>
        <w:autoSpaceDE w:val="0"/>
        <w:autoSpaceDN w:val="0"/>
        <w:snapToGrid w:val="0"/>
        <w:spacing w:line="550" w:lineRule="exact"/>
        <w:rPr>
          <w:rFonts w:ascii="宋体" w:hAnsi="宋体"/>
          <w:b/>
          <w:bCs/>
          <w:kern w:val="0"/>
          <w:sz w:val="36"/>
        </w:rPr>
      </w:pPr>
      <w:r>
        <w:rPr>
          <w:rFonts w:ascii="宋体" w:hAnsi="宋体"/>
          <w:b/>
          <w:bCs/>
          <w:kern w:val="0"/>
        </w:rPr>
        <w:t>第四部分 名词解释</w:t>
      </w:r>
    </w:p>
    <w:p>
      <w:pPr>
        <w:spacing w:line="550" w:lineRule="exact"/>
        <w:jc w:val="center"/>
        <w:rPr>
          <w:rFonts w:ascii="宋体" w:hAnsi="宋体"/>
          <w:b/>
          <w:bCs/>
          <w:sz w:val="44"/>
          <w:szCs w:val="44"/>
        </w:rPr>
      </w:pPr>
      <w:r>
        <w:rPr>
          <w:rFonts w:ascii="宋体" w:hAnsi="宋体"/>
          <w:sz w:val="44"/>
          <w:szCs w:val="44"/>
        </w:rPr>
        <w:br w:type="page"/>
      </w:r>
      <w:r>
        <w:rPr>
          <w:rFonts w:ascii="宋体" w:hAnsi="宋体"/>
          <w:b/>
          <w:bCs/>
          <w:sz w:val="44"/>
          <w:szCs w:val="44"/>
        </w:rPr>
        <w:t>第一部分　部门概况</w:t>
      </w:r>
    </w:p>
    <w:p>
      <w:pPr>
        <w:spacing w:line="550" w:lineRule="exact"/>
        <w:jc w:val="center"/>
        <w:rPr>
          <w:rFonts w:ascii="宋体" w:hAnsi="宋体"/>
          <w:b/>
          <w:bCs/>
          <w:sz w:val="44"/>
          <w:szCs w:val="44"/>
        </w:rPr>
      </w:pPr>
    </w:p>
    <w:p>
      <w:pPr>
        <w:spacing w:line="360" w:lineRule="auto"/>
        <w:ind w:firstLine="643" w:firstLineChars="200"/>
        <w:jc w:val="left"/>
        <w:rPr>
          <w:rFonts w:ascii="宋体" w:hAnsi="宋体"/>
          <w:b/>
          <w:bCs/>
          <w:szCs w:val="32"/>
        </w:rPr>
      </w:pPr>
      <w:r>
        <w:rPr>
          <w:rFonts w:hint="eastAsia" w:ascii="宋体" w:hAnsi="宋体"/>
          <w:b/>
          <w:bCs/>
          <w:szCs w:val="32"/>
        </w:rPr>
        <w:t>一、</w:t>
      </w:r>
      <w:r>
        <w:rPr>
          <w:rFonts w:ascii="宋体" w:hAnsi="宋体"/>
          <w:b/>
          <w:bCs/>
          <w:kern w:val="0"/>
          <w:szCs w:val="32"/>
        </w:rPr>
        <w:t>主要职能</w:t>
      </w:r>
    </w:p>
    <w:p>
      <w:pPr>
        <w:spacing w:line="360" w:lineRule="auto"/>
        <w:ind w:firstLine="640" w:firstLineChars="200"/>
        <w:rPr>
          <w:rFonts w:ascii="宋体" w:hAnsi="宋体"/>
          <w:szCs w:val="32"/>
        </w:rPr>
      </w:pPr>
      <w:r>
        <w:rPr>
          <w:rFonts w:ascii="宋体" w:hAnsi="宋体"/>
          <w:szCs w:val="32"/>
        </w:rPr>
        <w:t>南京市</w:t>
      </w:r>
      <w:r>
        <w:rPr>
          <w:rFonts w:hint="eastAsia" w:ascii="宋体" w:hAnsi="宋体"/>
          <w:szCs w:val="32"/>
        </w:rPr>
        <w:t>雨花台区人民检察院是国家的法律监督机关，接受上级人民检察院的领导，对雨花台区人民代表大会及其常务委员会负责并报告工作。</w:t>
      </w:r>
    </w:p>
    <w:p>
      <w:pPr>
        <w:spacing w:line="360" w:lineRule="auto"/>
        <w:ind w:firstLine="643" w:firstLineChars="200"/>
        <w:rPr>
          <w:rFonts w:ascii="宋体" w:hAnsi="宋体"/>
          <w:b/>
          <w:bCs/>
          <w:kern w:val="0"/>
        </w:rPr>
      </w:pPr>
      <w:r>
        <w:rPr>
          <w:rFonts w:hint="eastAsia" w:ascii="宋体" w:hAnsi="宋体"/>
          <w:b/>
          <w:bCs/>
          <w:kern w:val="0"/>
        </w:rPr>
        <w:t>二</w:t>
      </w:r>
      <w:r>
        <w:rPr>
          <w:rFonts w:ascii="宋体" w:hAnsi="宋体"/>
          <w:b/>
          <w:bCs/>
          <w:kern w:val="0"/>
        </w:rPr>
        <w:t>、部门机构设置及预算单位构成情况</w:t>
      </w:r>
    </w:p>
    <w:p>
      <w:pPr>
        <w:autoSpaceDE w:val="0"/>
        <w:autoSpaceDN w:val="0"/>
        <w:snapToGrid w:val="0"/>
        <w:spacing w:line="360" w:lineRule="auto"/>
        <w:ind w:firstLine="640" w:firstLineChars="200"/>
        <w:rPr>
          <w:rFonts w:ascii="宋体" w:hAnsi="宋体"/>
          <w:i/>
          <w:color w:val="000000" w:themeColor="text1"/>
          <w:kern w:val="0"/>
        </w:rPr>
      </w:pPr>
      <w:r>
        <w:rPr>
          <w:rFonts w:ascii="宋体" w:hAnsi="宋体"/>
          <w:kern w:val="0"/>
        </w:rPr>
        <w:t>1</w:t>
      </w:r>
      <w:r>
        <w:rPr>
          <w:rFonts w:hint="eastAsia" w:ascii="宋体" w:hAnsi="宋体"/>
          <w:kern w:val="0"/>
          <w:szCs w:val="32"/>
        </w:rPr>
        <w:t>．</w:t>
      </w:r>
      <w:r>
        <w:rPr>
          <w:rFonts w:ascii="宋体" w:hAnsi="宋体"/>
          <w:color w:val="000000" w:themeColor="text1"/>
          <w:kern w:val="0"/>
        </w:rPr>
        <w:t>根据部门职责分工，本部门内设机构包括</w:t>
      </w:r>
      <w:r>
        <w:rPr>
          <w:rFonts w:hint="eastAsia" w:ascii="宋体" w:hAnsi="宋体"/>
          <w:color w:val="000000" w:themeColor="text1"/>
          <w:kern w:val="0"/>
        </w:rPr>
        <w:t>第</w:t>
      </w:r>
      <w:r>
        <w:rPr>
          <w:rFonts w:ascii="宋体" w:hAnsi="宋体"/>
          <w:color w:val="000000" w:themeColor="text1"/>
          <w:kern w:val="0"/>
        </w:rPr>
        <w:t>一检察部、第二检察</w:t>
      </w:r>
      <w:r>
        <w:rPr>
          <w:rFonts w:hint="eastAsia" w:ascii="宋体" w:hAnsi="宋体"/>
          <w:color w:val="000000" w:themeColor="text1"/>
          <w:kern w:val="0"/>
        </w:rPr>
        <w:t>部、第三检察部、第四检察部、检察综合管理部</w:t>
      </w:r>
      <w:r>
        <w:rPr>
          <w:rFonts w:ascii="宋体" w:hAnsi="宋体"/>
          <w:color w:val="000000" w:themeColor="text1"/>
          <w:spacing w:val="-8"/>
          <w:kern w:val="0"/>
          <w:szCs w:val="32"/>
        </w:rPr>
        <w:t>。</w:t>
      </w:r>
      <w:r>
        <w:rPr>
          <w:rFonts w:ascii="宋体" w:hAnsi="宋体"/>
          <w:color w:val="000000" w:themeColor="text1"/>
          <w:spacing w:val="-8"/>
          <w:kern w:val="0"/>
        </w:rPr>
        <w:t>本部门无下属单位。</w:t>
      </w:r>
    </w:p>
    <w:p>
      <w:pPr>
        <w:autoSpaceDE w:val="0"/>
        <w:autoSpaceDN w:val="0"/>
        <w:snapToGrid w:val="0"/>
        <w:spacing w:line="360" w:lineRule="auto"/>
        <w:ind w:firstLine="640" w:firstLineChars="200"/>
        <w:rPr>
          <w:rFonts w:ascii="宋体" w:hAnsi="宋体"/>
          <w:color w:val="000000" w:themeColor="text1"/>
          <w:kern w:val="0"/>
        </w:rPr>
      </w:pPr>
      <w:r>
        <w:rPr>
          <w:color w:val="000000" w:themeColor="text1"/>
        </w:rPr>
        <w:t>2．从预算单位构成看，纳入本部门2021年部门汇总预算编制范围的预算单位共计</w:t>
      </w:r>
      <w:r>
        <w:rPr>
          <w:rFonts w:hint="eastAsia"/>
          <w:color w:val="000000" w:themeColor="text1"/>
        </w:rPr>
        <w:t>1</w:t>
      </w:r>
      <w:r>
        <w:rPr>
          <w:color w:val="000000" w:themeColor="text1"/>
        </w:rPr>
        <w:t>家，具体包括：南京市雨花台区人民检察院本级</w:t>
      </w:r>
      <w:r>
        <w:rPr>
          <w:rFonts w:hint="eastAsia"/>
          <w:color w:val="000000" w:themeColor="text1"/>
        </w:rPr>
        <w:t>1</w:t>
      </w:r>
      <w:r>
        <w:rPr>
          <w:color w:val="000000" w:themeColor="text1"/>
        </w:rPr>
        <w:t>。</w:t>
      </w:r>
    </w:p>
    <w:p>
      <w:pPr>
        <w:spacing w:line="360" w:lineRule="auto"/>
        <w:ind w:firstLine="643" w:firstLineChars="200"/>
        <w:rPr>
          <w:rFonts w:ascii="宋体" w:hAnsi="宋体"/>
          <w:b/>
          <w:bCs/>
          <w:kern w:val="0"/>
        </w:rPr>
      </w:pPr>
      <w:r>
        <w:rPr>
          <w:rFonts w:hint="eastAsia" w:ascii="宋体" w:hAnsi="宋体"/>
          <w:b/>
          <w:bCs/>
          <w:kern w:val="0"/>
        </w:rPr>
        <w:t>三</w:t>
      </w:r>
      <w:r>
        <w:rPr>
          <w:rFonts w:ascii="宋体" w:hAnsi="宋体"/>
          <w:b/>
          <w:bCs/>
          <w:kern w:val="0"/>
        </w:rPr>
        <w:t>、2021年部门主要工作任务及目标</w:t>
      </w:r>
    </w:p>
    <w:p>
      <w:pPr>
        <w:widowControl/>
        <w:shd w:val="clear" w:color="auto" w:fill="FFFFFF"/>
        <w:tabs>
          <w:tab w:val="left" w:pos="1399"/>
        </w:tabs>
        <w:spacing w:line="360" w:lineRule="auto"/>
        <w:ind w:firstLine="640" w:firstLineChars="200"/>
        <w:jc w:val="left"/>
        <w:rPr>
          <w:rFonts w:ascii="宋体" w:hAnsi="宋体" w:cs="宋体"/>
          <w:color w:val="333333"/>
          <w:kern w:val="0"/>
          <w:szCs w:val="32"/>
        </w:rPr>
      </w:pPr>
      <w:r>
        <w:rPr>
          <w:rFonts w:ascii="宋体" w:hAnsi="宋体"/>
          <w:color w:val="333333"/>
          <w:kern w:val="0"/>
          <w:szCs w:val="32"/>
        </w:rPr>
        <w:t>2021</w:t>
      </w:r>
      <w:r>
        <w:rPr>
          <w:rFonts w:hint="eastAsia" w:ascii="宋体" w:hAnsi="宋体" w:cs="宋体"/>
          <w:color w:val="333333"/>
          <w:kern w:val="0"/>
          <w:szCs w:val="32"/>
        </w:rPr>
        <w:t>年是“十四五”规划的开局之年，区检察院将深入贯彻习近平法治思想和区委十一届十六次全会精神，紧紧围绕服务“六稳”“六保”，以更大力度狠抓司法办案、强化法律监督，全力维护国家政治安全和社会公平正义、守护国家和社会公共利益、保障人民群众安居乐业。</w:t>
      </w:r>
    </w:p>
    <w:p>
      <w:pPr>
        <w:widowControl/>
        <w:shd w:val="clear" w:color="auto" w:fill="FFFFFF"/>
        <w:tabs>
          <w:tab w:val="left" w:pos="1399"/>
        </w:tabs>
        <w:spacing w:line="360" w:lineRule="auto"/>
        <w:ind w:firstLine="640" w:firstLineChars="200"/>
        <w:jc w:val="left"/>
        <w:rPr>
          <w:rFonts w:ascii="宋体" w:hAnsi="宋体" w:cs="宋体"/>
          <w:color w:val="333333"/>
          <w:kern w:val="0"/>
          <w:szCs w:val="32"/>
        </w:rPr>
      </w:pPr>
      <w:r>
        <w:rPr>
          <w:rFonts w:hint="eastAsia" w:ascii="宋体" w:hAnsi="宋体" w:cs="宋体"/>
          <w:color w:val="333333"/>
          <w:kern w:val="0"/>
          <w:szCs w:val="32"/>
        </w:rPr>
        <w:t>一是进一步聚焦“强富美高”建设，主动服务发展大局。积极在做好“六稳”工作，落实“六保”任务等中心工作中找准检察工作的切入点和发力点，全面履行检察职能，努力提升检察贡献度，以更高站位护航雨花经济社会高质量发展。</w:t>
      </w:r>
    </w:p>
    <w:p>
      <w:pPr>
        <w:widowControl/>
        <w:shd w:val="clear" w:color="auto" w:fill="FFFFFF"/>
        <w:tabs>
          <w:tab w:val="left" w:pos="1399"/>
        </w:tabs>
        <w:spacing w:line="360" w:lineRule="auto"/>
        <w:ind w:firstLine="640" w:firstLineChars="200"/>
        <w:jc w:val="left"/>
        <w:rPr>
          <w:rFonts w:ascii="宋体" w:hAnsi="宋体" w:cs="宋体"/>
          <w:color w:val="333333"/>
          <w:kern w:val="0"/>
          <w:szCs w:val="32"/>
        </w:rPr>
      </w:pPr>
      <w:r>
        <w:rPr>
          <w:rFonts w:hint="eastAsia" w:ascii="宋体" w:hAnsi="宋体" w:cs="宋体"/>
          <w:color w:val="333333"/>
          <w:kern w:val="0"/>
          <w:szCs w:val="32"/>
        </w:rPr>
        <w:t>二是进一步推进“四大检察”发展，切实履行使命担当。坚持总体国家安全观，严惩危害国家安全、公共安全犯罪。建立扫黑除恶常态化机制，推动平安雨花建设。严惩侵犯民营企业合法权益犯罪，审慎办理民企涉嫌刑事犯罪案件，为民营企业发展提供更好营商环境。学好用好民法典，加强类案分析，着力</w:t>
      </w:r>
      <w:r>
        <w:rPr>
          <w:rFonts w:hint="eastAsia" w:ascii="宋体" w:hAnsi="宋体" w:cs="宋体"/>
          <w:bCs/>
          <w:color w:val="333333"/>
          <w:kern w:val="0"/>
          <w:szCs w:val="32"/>
        </w:rPr>
        <w:t>提升民事监督能力。</w:t>
      </w:r>
      <w:r>
        <w:rPr>
          <w:rFonts w:hint="eastAsia" w:ascii="宋体" w:hAnsi="宋体" w:cs="宋体"/>
          <w:color w:val="333333"/>
          <w:kern w:val="0"/>
          <w:szCs w:val="32"/>
        </w:rPr>
        <w:t>积极拓展公益诉讼案件范围，加大行政公益诉讼力度，促进严格执法、规范用权。</w:t>
      </w:r>
    </w:p>
    <w:p>
      <w:pPr>
        <w:widowControl/>
        <w:shd w:val="clear" w:color="auto" w:fill="FFFFFF"/>
        <w:tabs>
          <w:tab w:val="left" w:pos="1399"/>
        </w:tabs>
        <w:spacing w:line="360" w:lineRule="auto"/>
        <w:ind w:firstLine="640" w:firstLineChars="200"/>
        <w:jc w:val="left"/>
        <w:rPr>
          <w:rFonts w:ascii="宋体" w:hAnsi="宋体"/>
          <w:sz w:val="44"/>
          <w:szCs w:val="44"/>
        </w:rPr>
        <w:sectPr>
          <w:headerReference r:id="rId3" w:type="default"/>
          <w:headerReference r:id="rId4" w:type="even"/>
          <w:pgSz w:w="11910" w:h="16840"/>
          <w:pgMar w:top="1580" w:right="1320" w:bottom="280" w:left="1480" w:header="720" w:footer="720" w:gutter="0"/>
          <w:cols w:space="720" w:num="1"/>
        </w:sectPr>
      </w:pPr>
      <w:r>
        <w:rPr>
          <w:rFonts w:hint="eastAsia" w:ascii="宋体" w:hAnsi="宋体" w:cs="宋体"/>
          <w:color w:val="333333"/>
          <w:kern w:val="0"/>
          <w:szCs w:val="32"/>
        </w:rPr>
        <w:t>三是进一步更新司法办案理念，锐意推进创新创优。结合区域实际，贯彻落实好“少捕慎诉”“双赢多赢共赢”理念，优化认罪认罚从宽工作制度，探索证据开示和量刑建议说理机制，注重发挥检察建议的规范引领作用，以更实举措提升社会治理现代化水平。扎实开展政法队伍教育整顿，下大力气提升检察队伍政治素质和业务素质，不断提高检察履职能力。</w:t>
      </w:r>
    </w:p>
    <w:p>
      <w:pPr>
        <w:spacing w:line="550" w:lineRule="exact"/>
        <w:jc w:val="center"/>
        <w:rPr>
          <w:rFonts w:ascii="宋体" w:hAnsi="宋体"/>
          <w:b/>
          <w:bCs/>
          <w:sz w:val="44"/>
          <w:szCs w:val="44"/>
        </w:rPr>
      </w:pPr>
      <w:r>
        <w:rPr>
          <w:b/>
        </w:rPr>
        <w:t>第二部分　南京市雨花台区人民检察院2021年度部门预算表</w:t>
      </w:r>
    </w:p>
    <w:tbl>
      <w:tblPr>
        <w:tblStyle w:val="10"/>
        <w:tblW w:w="5000" w:type="pct"/>
        <w:tblInd w:w="108" w:type="dxa"/>
        <w:tblLayout w:type="autofit"/>
        <w:tblCellMar>
          <w:top w:w="0" w:type="dxa"/>
          <w:left w:w="108" w:type="dxa"/>
          <w:bottom w:w="0" w:type="dxa"/>
          <w:right w:w="108" w:type="dxa"/>
        </w:tblCellMar>
      </w:tblPr>
      <w:tblGrid>
        <w:gridCol w:w="3256"/>
        <w:gridCol w:w="1007"/>
        <w:gridCol w:w="3470"/>
        <w:gridCol w:w="1328"/>
        <w:gridCol w:w="264"/>
      </w:tblGrid>
      <w:tr>
        <w:tblPrEx>
          <w:tblCellMar>
            <w:top w:w="0" w:type="dxa"/>
            <w:left w:w="108" w:type="dxa"/>
            <w:bottom w:w="0" w:type="dxa"/>
            <w:right w:w="108" w:type="dxa"/>
          </w:tblCellMar>
        </w:tblPrEx>
        <w:trPr>
          <w:gridAfter w:val="1"/>
          <w:wAfter w:w="264" w:type="dxa"/>
          <w:trHeight w:val="66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公开01表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gridAfter w:val="1"/>
          <w:wAfter w:w="264" w:type="dxa"/>
          <w:trHeight w:val="420" w:hRule="atLeast"/>
        </w:trPr>
        <w:tc>
          <w:tcPr>
            <w:tcW w:w="0" w:type="auto"/>
            <w:gridSpan w:val="4"/>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收支总表</w:t>
            </w:r>
          </w:p>
        </w:tc>
      </w:tr>
      <w:tr>
        <w:tblPrEx>
          <w:tblCellMar>
            <w:top w:w="0" w:type="dxa"/>
            <w:left w:w="108" w:type="dxa"/>
            <w:bottom w:w="0" w:type="dxa"/>
            <w:right w:w="108" w:type="dxa"/>
          </w:tblCellMar>
        </w:tblPrEx>
        <w:trPr>
          <w:gridAfter w:val="1"/>
          <w:wAfter w:w="264" w:type="dxa"/>
          <w:trHeight w:val="250" w:hRule="atLeast"/>
        </w:trPr>
        <w:tc>
          <w:tcPr>
            <w:tcW w:w="0" w:type="auto"/>
            <w:gridSpan w:val="3"/>
            <w:tcBorders>
              <w:top w:val="nil"/>
              <w:left w:val="nil"/>
              <w:bottom w:val="single" w:color="000000" w:sz="4" w:space="0"/>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000000" w:fill="FFFFFF"/>
            <w:vAlign w:val="center"/>
          </w:tcPr>
          <w:p>
            <w:pPr>
              <w:jc w:val="right"/>
              <w:rPr>
                <w:rFonts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gridAfter w:val="1"/>
          <w:wAfter w:w="264" w:type="dxa"/>
          <w:trHeight w:val="250" w:hRule="atLeast"/>
        </w:trPr>
        <w:tc>
          <w:tcPr>
            <w:tcW w:w="0" w:type="auto"/>
            <w:gridSpan w:val="2"/>
            <w:tcBorders>
              <w:top w:val="single" w:color="000000" w:sz="4" w:space="0"/>
              <w:left w:val="single" w:color="000000" w:sz="4" w:space="0"/>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收入</w:t>
            </w:r>
          </w:p>
        </w:tc>
        <w:tc>
          <w:tcPr>
            <w:tcW w:w="0" w:type="auto"/>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支出</w:t>
            </w:r>
          </w:p>
        </w:tc>
      </w:tr>
      <w:tr>
        <w:tblPrEx>
          <w:tblCellMar>
            <w:top w:w="0" w:type="dxa"/>
            <w:left w:w="108" w:type="dxa"/>
            <w:bottom w:w="0" w:type="dxa"/>
            <w:right w:w="108" w:type="dxa"/>
          </w:tblCellMar>
        </w:tblPrEx>
        <w:trPr>
          <w:gridAfter w:val="1"/>
          <w:wAfter w:w="264" w:type="dxa"/>
          <w:trHeight w:val="368" w:hRule="atLeast"/>
        </w:trPr>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w:t>
            </w:r>
          </w:p>
        </w:tc>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预算数</w:t>
            </w:r>
          </w:p>
        </w:tc>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w:t>
            </w:r>
          </w:p>
        </w:tc>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预算数</w:t>
            </w:r>
          </w:p>
        </w:tc>
      </w:tr>
      <w:tr>
        <w:tblPrEx>
          <w:tblCellMar>
            <w:top w:w="0" w:type="dxa"/>
            <w:left w:w="108" w:type="dxa"/>
            <w:bottom w:w="0" w:type="dxa"/>
            <w:right w:w="108" w:type="dxa"/>
          </w:tblCellMar>
        </w:tblPrEx>
        <w:trPr>
          <w:trHeight w:val="250" w:hRule="atLeast"/>
        </w:trPr>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nil"/>
              <w:right w:val="nil"/>
            </w:tcBorders>
            <w:shd w:val="clear" w:color="auto" w:fill="auto"/>
            <w:noWrap/>
            <w:vAlign w:val="bottom"/>
          </w:tcPr>
          <w:p>
            <w:pPr>
              <w:jc w:val="center"/>
              <w:rPr>
                <w:rFonts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一、一般公共预算拨款收入</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3,346.74</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一、一般公共服务支出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二、政府性基金预算拨款收入</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二、外交支出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三、国有资本经营预算拨款收入</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三、国防支出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四、财政专户管理资金收入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四、公共安全支出</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2,672.27</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五、事业收入</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五、教育支出</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六、事业单位经营收入</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六、科学技术支出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七、上级补助收入</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七、文化旅游体育与传媒支出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八、附属单位上缴收入</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八、社会保障和就业支出</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186.21</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九、其他收入</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九、卫生健康支出</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十、节能环保支出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十一、城乡社区支出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十二、农林水支出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十三、交通运输支出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十四、资源勘探工业信息等支出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十五、商业服务业等支出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十六、金融支出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十七、援助其他地区支出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十八、自然资源海洋气象等支出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十九、住房保障支出</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488.26</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二十、粮油物资储备支出</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二十一、灾害防治及应急管理支出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二十二、其他支出</w:t>
            </w:r>
          </w:p>
        </w:tc>
        <w:tc>
          <w:tcPr>
            <w:tcW w:w="0" w:type="auto"/>
            <w:tcBorders>
              <w:top w:val="single" w:color="000000" w:sz="4" w:space="0"/>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本年收入合计</w:t>
            </w:r>
          </w:p>
        </w:tc>
        <w:tc>
          <w:tcPr>
            <w:tcW w:w="0" w:type="auto"/>
            <w:tcBorders>
              <w:top w:val="nil"/>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本年支出合计</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上年结转结余</w:t>
            </w:r>
          </w:p>
        </w:tc>
        <w:tc>
          <w:tcPr>
            <w:tcW w:w="0" w:type="auto"/>
            <w:tcBorders>
              <w:top w:val="nil"/>
              <w:left w:val="nil"/>
              <w:bottom w:val="nil"/>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年终结转结余</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收入总计</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支出总计</w:t>
            </w:r>
          </w:p>
        </w:tc>
        <w:tc>
          <w:tcPr>
            <w:tcW w:w="0" w:type="auto"/>
            <w:tcBorders>
              <w:top w:val="nil"/>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vAlign w:val="center"/>
          </w:tcPr>
          <w:p>
            <w:pPr>
              <w:rPr>
                <w:rFonts w:eastAsia="Times New Roman"/>
                <w:sz w:val="20"/>
                <w:szCs w:val="20"/>
              </w:rPr>
            </w:pPr>
          </w:p>
        </w:tc>
      </w:tr>
    </w:tbl>
    <w:p>
      <w:pPr>
        <w:spacing w:line="550" w:lineRule="exact"/>
        <w:rPr>
          <w:rFonts w:ascii="宋体" w:hAnsi="宋体"/>
        </w:rPr>
        <w:sectPr>
          <w:pgSz w:w="11910" w:h="16840"/>
          <w:pgMar w:top="1134" w:right="1321" w:bottom="1134" w:left="1480" w:header="720" w:footer="720" w:gutter="0"/>
          <w:cols w:space="720" w:num="1"/>
        </w:sectPr>
      </w:pPr>
    </w:p>
    <w:tbl>
      <w:tblPr>
        <w:tblStyle w:val="10"/>
        <w:tblW w:w="4900" w:type="pct"/>
        <w:tblInd w:w="108" w:type="dxa"/>
        <w:tblLayout w:type="autofit"/>
        <w:tblCellMar>
          <w:top w:w="0" w:type="dxa"/>
          <w:left w:w="108" w:type="dxa"/>
          <w:bottom w:w="0" w:type="dxa"/>
          <w:right w:w="108" w:type="dxa"/>
        </w:tblCellMar>
      </w:tblPr>
      <w:tblGrid>
        <w:gridCol w:w="1421"/>
        <w:gridCol w:w="2044"/>
        <w:gridCol w:w="846"/>
        <w:gridCol w:w="846"/>
        <w:gridCol w:w="922"/>
        <w:gridCol w:w="577"/>
        <w:gridCol w:w="608"/>
        <w:gridCol w:w="608"/>
        <w:gridCol w:w="487"/>
        <w:gridCol w:w="608"/>
        <w:gridCol w:w="547"/>
        <w:gridCol w:w="608"/>
        <w:gridCol w:w="487"/>
        <w:gridCol w:w="427"/>
        <w:gridCol w:w="547"/>
        <w:gridCol w:w="577"/>
        <w:gridCol w:w="608"/>
        <w:gridCol w:w="608"/>
        <w:gridCol w:w="1116"/>
      </w:tblGrid>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公开02表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300" w:hRule="atLeast"/>
        </w:trPr>
        <w:tc>
          <w:tcPr>
            <w:tcW w:w="0" w:type="auto"/>
            <w:gridSpan w:val="19"/>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收入总表</w:t>
            </w:r>
          </w:p>
        </w:tc>
      </w:tr>
      <w:tr>
        <w:tblPrEx>
          <w:tblCellMar>
            <w:top w:w="0" w:type="dxa"/>
            <w:left w:w="108" w:type="dxa"/>
            <w:bottom w:w="0" w:type="dxa"/>
            <w:right w:w="108" w:type="dxa"/>
          </w:tblCellMar>
        </w:tblPrEx>
        <w:trPr>
          <w:trHeight w:val="250" w:hRule="atLeast"/>
        </w:trPr>
        <w:tc>
          <w:tcPr>
            <w:tcW w:w="0" w:type="auto"/>
            <w:gridSpan w:val="2"/>
            <w:tcBorders>
              <w:top w:val="nil"/>
              <w:left w:val="nil"/>
              <w:bottom w:val="nil"/>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noWrap/>
            <w:vAlign w:val="bottom"/>
          </w:tcPr>
          <w:p>
            <w:pPr>
              <w:rPr>
                <w:rFonts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gridSpan w:val="10"/>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本年收入</w:t>
            </w:r>
          </w:p>
        </w:tc>
        <w:tc>
          <w:tcPr>
            <w:tcW w:w="0" w:type="auto"/>
            <w:gridSpan w:val="6"/>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上年结转结余</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小计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一般公共预算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政府性基金预算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国有资本经营预算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财政专户管理资金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事业收入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事业单位经营收入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上级补助收入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附属单位上缴收入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其他收入</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小计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一般公共预算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政府性基金预算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国有资本经营预算</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财政专户管理资金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单位资金</w:t>
            </w:r>
          </w:p>
        </w:tc>
      </w:tr>
      <w:tr>
        <w:tblPrEx>
          <w:tblCellMar>
            <w:top w:w="0" w:type="dxa"/>
            <w:left w:w="108" w:type="dxa"/>
            <w:bottom w:w="0" w:type="dxa"/>
            <w:right w:w="108" w:type="dxa"/>
          </w:tblCellMar>
        </w:tblPrEx>
        <w:trPr>
          <w:trHeight w:val="2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998151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南京市雨花台区人民检察院</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998151002</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南京市雨花台区人民检察院</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1567"/>
        <w:gridCol w:w="2853"/>
        <w:gridCol w:w="1099"/>
        <w:gridCol w:w="1220"/>
        <w:gridCol w:w="1220"/>
        <w:gridCol w:w="2159"/>
        <w:gridCol w:w="1690"/>
        <w:gridCol w:w="2395"/>
        <w:gridCol w:w="289"/>
      </w:tblGrid>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公开03表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450" w:hRule="atLeast"/>
        </w:trPr>
        <w:tc>
          <w:tcPr>
            <w:tcW w:w="0" w:type="auto"/>
            <w:gridSpan w:val="8"/>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支出总表</w:t>
            </w:r>
          </w:p>
        </w:tc>
        <w:tc>
          <w:tcPr>
            <w:tcW w:w="0" w:type="auto"/>
            <w:tcBorders>
              <w:top w:val="nil"/>
              <w:left w:val="nil"/>
              <w:bottom w:val="nil"/>
              <w:right w:val="nil"/>
            </w:tcBorders>
            <w:shd w:val="clear" w:color="auto" w:fill="auto"/>
            <w:noWrap/>
            <w:vAlign w:val="bottom"/>
          </w:tcPr>
          <w:p>
            <w:pPr>
              <w:jc w:val="center"/>
              <w:rPr>
                <w:rFonts w:cs="Arial"/>
                <w:b/>
                <w:bCs/>
                <w:color w:val="000000"/>
              </w:rPr>
            </w:pPr>
          </w:p>
        </w:tc>
      </w:tr>
      <w:tr>
        <w:tblPrEx>
          <w:tblCellMar>
            <w:top w:w="0" w:type="dxa"/>
            <w:left w:w="108" w:type="dxa"/>
            <w:bottom w:w="0" w:type="dxa"/>
            <w:right w:w="108" w:type="dxa"/>
          </w:tblCellMar>
        </w:tblPrEx>
        <w:trPr>
          <w:trHeight w:val="250" w:hRule="atLeast"/>
        </w:trPr>
        <w:tc>
          <w:tcPr>
            <w:tcW w:w="0" w:type="auto"/>
            <w:gridSpan w:val="4"/>
            <w:tcBorders>
              <w:top w:val="nil"/>
              <w:left w:val="nil"/>
              <w:bottom w:val="single" w:color="000000" w:sz="4" w:space="0"/>
              <w:right w:val="nil"/>
            </w:tcBorders>
            <w:shd w:val="clear" w:color="000000" w:fill="FFFFFF"/>
            <w:noWrap/>
            <w:vAlign w:val="center"/>
          </w:tcPr>
          <w:p>
            <w:pPr>
              <w:rPr>
                <w:rFonts w:ascii="宋体" w:hAnsi="宋体"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c>
          <w:tcPr>
            <w:tcW w:w="0" w:type="auto"/>
            <w:tcBorders>
              <w:top w:val="nil"/>
              <w:left w:val="nil"/>
              <w:bottom w:val="nil"/>
              <w:right w:val="nil"/>
            </w:tcBorders>
            <w:shd w:val="clear" w:color="auto" w:fill="auto"/>
            <w:noWrap/>
            <w:vAlign w:val="bottom"/>
          </w:tcPr>
          <w:p>
            <w:pPr>
              <w:jc w:val="right"/>
              <w:rPr>
                <w:rFonts w:cs="Arial"/>
                <w:color w:val="000000"/>
                <w:sz w:val="18"/>
                <w:szCs w:val="18"/>
              </w:rPr>
            </w:pPr>
          </w:p>
        </w:tc>
      </w:tr>
      <w:tr>
        <w:tblPrEx>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b/>
                <w:bCs/>
                <w:color w:val="000000"/>
                <w:sz w:val="18"/>
                <w:szCs w:val="18"/>
              </w:rPr>
            </w:pPr>
            <w:r>
              <w:rPr>
                <w:rFonts w:hint="eastAsia" w:cs="Arial"/>
                <w:b/>
                <w:bCs/>
                <w:color w:val="000000"/>
                <w:sz w:val="18"/>
                <w:szCs w:val="18"/>
              </w:rPr>
              <w:t>科目编码</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基本支出</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项目支出</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事业单位经营支出</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上缴上级支出</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对附属单位补助支出</w:t>
            </w:r>
          </w:p>
        </w:tc>
        <w:tc>
          <w:tcPr>
            <w:tcW w:w="0" w:type="auto"/>
            <w:tcBorders>
              <w:top w:val="nil"/>
              <w:left w:val="nil"/>
              <w:bottom w:val="nil"/>
              <w:right w:val="nil"/>
            </w:tcBorders>
            <w:shd w:val="clear" w:color="auto" w:fill="auto"/>
            <w:noWrap/>
            <w:vAlign w:val="bottom"/>
          </w:tcPr>
          <w:p>
            <w:pPr>
              <w:jc w:val="center"/>
              <w:rPr>
                <w:rFonts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2,369.74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977.00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000000" w:fill="FFFFFF"/>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204</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公共安全支出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977.00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20404</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检察</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977.00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2040401</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行政运行</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2040402</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一般行政管理事务</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540.00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540.00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2040499</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其他检察支出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437.00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437.00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208</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社会保障和就业支出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20805</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行政事业单位养老支出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2080501</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行政单位离退休</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221</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住房保障支出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22102</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住房改革支出</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2210201</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住房公积金</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2210202</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提租补贴</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rPr>
            </w:pPr>
            <w:r>
              <w:rPr>
                <w:rFonts w:hint="eastAsia" w:cs="Arial"/>
                <w:color w:val="000000"/>
                <w:sz w:val="18"/>
                <w:szCs w:val="18"/>
              </w:rPr>
              <w:t xml:space="preserve">    2210203</w:t>
            </w:r>
          </w:p>
        </w:tc>
        <w:tc>
          <w:tcPr>
            <w:tcW w:w="0" w:type="auto"/>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购房补贴</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3453"/>
        <w:gridCol w:w="2866"/>
        <w:gridCol w:w="1104"/>
        <w:gridCol w:w="1969"/>
        <w:gridCol w:w="2188"/>
        <w:gridCol w:w="1456"/>
        <w:gridCol w:w="1456"/>
      </w:tblGrid>
      <w:tr>
        <w:tblPrEx>
          <w:tblCellMar>
            <w:top w:w="0" w:type="dxa"/>
            <w:left w:w="108" w:type="dxa"/>
            <w:bottom w:w="0" w:type="dxa"/>
            <w:right w:w="108" w:type="dxa"/>
          </w:tblCellMar>
        </w:tblPrEx>
        <w:trPr>
          <w:gridAfter w:val="1"/>
          <w:wAfter w:w="1456" w:type="dxa"/>
          <w:trHeight w:val="76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公开04表</w:t>
            </w:r>
          </w:p>
        </w:tc>
        <w:tc>
          <w:tcPr>
            <w:tcW w:w="0" w:type="auto"/>
            <w:gridSpan w:val="2"/>
            <w:tcBorders>
              <w:top w:val="nil"/>
              <w:left w:val="nil"/>
              <w:bottom w:val="nil"/>
              <w:right w:val="nil"/>
            </w:tcBorders>
            <w:shd w:val="clear" w:color="auto" w:fill="auto"/>
            <w:noWrap/>
            <w:vAlign w:val="bottom"/>
          </w:tcPr>
          <w:p>
            <w:pPr>
              <w:rPr>
                <w:rFonts w:ascii="Arial" w:hAnsi="Arial" w:cs="Arial"/>
                <w:sz w:val="20"/>
                <w:szCs w:val="20"/>
              </w:rPr>
            </w:pPr>
          </w:p>
        </w:tc>
        <w:tc>
          <w:tcPr>
            <w:tcW w:w="0" w:type="auto"/>
            <w:gridSpan w:val="2"/>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gridAfter w:val="1"/>
          <w:wAfter w:w="1456" w:type="dxa"/>
          <w:trHeight w:val="613" w:hRule="atLeast"/>
        </w:trPr>
        <w:tc>
          <w:tcPr>
            <w:tcW w:w="0" w:type="auto"/>
            <w:gridSpan w:val="6"/>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财政拨款收支总表</w:t>
            </w:r>
          </w:p>
        </w:tc>
      </w:tr>
      <w:tr>
        <w:tblPrEx>
          <w:tblCellMar>
            <w:top w:w="0" w:type="dxa"/>
            <w:left w:w="108" w:type="dxa"/>
            <w:bottom w:w="0" w:type="dxa"/>
            <w:right w:w="108" w:type="dxa"/>
          </w:tblCellMar>
        </w:tblPrEx>
        <w:trPr>
          <w:gridAfter w:val="1"/>
          <w:wAfter w:w="1456" w:type="dxa"/>
          <w:trHeight w:val="250" w:hRule="atLeast"/>
        </w:trPr>
        <w:tc>
          <w:tcPr>
            <w:tcW w:w="0" w:type="auto"/>
            <w:gridSpan w:val="3"/>
            <w:tcBorders>
              <w:top w:val="nil"/>
              <w:left w:val="nil"/>
              <w:bottom w:val="single" w:color="000000" w:sz="4" w:space="0"/>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gridSpan w:val="2"/>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000000" w:fill="FFFFFF"/>
            <w:noWrap/>
            <w:vAlign w:val="center"/>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gridAfter w:val="1"/>
          <w:wAfter w:w="1456" w:type="dxa"/>
          <w:trHeight w:val="250" w:hRule="atLeast"/>
        </w:trPr>
        <w:tc>
          <w:tcPr>
            <w:tcW w:w="0" w:type="auto"/>
            <w:gridSpan w:val="3"/>
            <w:tcBorders>
              <w:top w:val="single" w:color="000000" w:sz="4" w:space="0"/>
              <w:left w:val="single" w:color="000000" w:sz="4" w:space="0"/>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支出</w:t>
            </w:r>
          </w:p>
        </w:tc>
      </w:tr>
      <w:tr>
        <w:tblPrEx>
          <w:tblCellMar>
            <w:top w:w="0" w:type="dxa"/>
            <w:left w:w="108" w:type="dxa"/>
            <w:bottom w:w="0" w:type="dxa"/>
            <w:right w:w="108" w:type="dxa"/>
          </w:tblCellMar>
        </w:tblPrEx>
        <w:trPr>
          <w:gridAfter w:val="1"/>
          <w:wAfter w:w="1456" w:type="dxa"/>
          <w:trHeight w:val="368" w:hRule="atLeast"/>
        </w:trPr>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w:t>
            </w:r>
          </w:p>
        </w:tc>
        <w:tc>
          <w:tcPr>
            <w:tcW w:w="0" w:type="auto"/>
            <w:gridSpan w:val="2"/>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预算数</w:t>
            </w:r>
          </w:p>
        </w:tc>
        <w:tc>
          <w:tcPr>
            <w:tcW w:w="0" w:type="auto"/>
            <w:gridSpan w:val="2"/>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w:t>
            </w:r>
          </w:p>
        </w:tc>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预算数</w:t>
            </w:r>
          </w:p>
        </w:tc>
      </w:tr>
      <w:tr>
        <w:tblPrEx>
          <w:tblCellMar>
            <w:top w:w="0" w:type="dxa"/>
            <w:left w:w="108" w:type="dxa"/>
            <w:bottom w:w="0" w:type="dxa"/>
            <w:right w:w="108" w:type="dxa"/>
          </w:tblCellMar>
        </w:tblPrEx>
        <w:trPr>
          <w:trHeight w:val="80" w:hRule="atLeast"/>
        </w:trPr>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gridSpan w:val="2"/>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gridSpan w:val="2"/>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nil"/>
              <w:right w:val="nil"/>
            </w:tcBorders>
            <w:shd w:val="clear" w:color="auto" w:fill="auto"/>
            <w:noWrap/>
            <w:vAlign w:val="bottom"/>
          </w:tcPr>
          <w:p>
            <w:pPr>
              <w:jc w:val="center"/>
              <w:rPr>
                <w:rFonts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一、本年收入</w:t>
            </w:r>
          </w:p>
        </w:tc>
        <w:tc>
          <w:tcPr>
            <w:tcW w:w="0" w:type="auto"/>
            <w:gridSpan w:val="2"/>
            <w:tcBorders>
              <w:top w:val="single" w:color="000000" w:sz="4" w:space="0"/>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3,346.74</w:t>
            </w:r>
          </w:p>
        </w:tc>
        <w:tc>
          <w:tcPr>
            <w:tcW w:w="0" w:type="auto"/>
            <w:gridSpan w:val="2"/>
            <w:tcBorders>
              <w:top w:val="single" w:color="000000" w:sz="4" w:space="0"/>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一、本年支出</w:t>
            </w:r>
          </w:p>
        </w:tc>
        <w:tc>
          <w:tcPr>
            <w:tcW w:w="0" w:type="auto"/>
            <w:tcBorders>
              <w:top w:val="single" w:color="000000" w:sz="4" w:space="0"/>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3,346.74</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（一）一般公共预算拨款</w:t>
            </w:r>
          </w:p>
        </w:tc>
        <w:tc>
          <w:tcPr>
            <w:tcW w:w="0" w:type="auto"/>
            <w:gridSpan w:val="2"/>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3,346.74</w:t>
            </w:r>
          </w:p>
        </w:tc>
        <w:tc>
          <w:tcPr>
            <w:tcW w:w="0" w:type="auto"/>
            <w:gridSpan w:val="2"/>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（一）一般公共服务支出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（二）政府性基金预算拨款</w:t>
            </w:r>
          </w:p>
        </w:tc>
        <w:tc>
          <w:tcPr>
            <w:tcW w:w="0" w:type="auto"/>
            <w:gridSpan w:val="2"/>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（二）外交支出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（三）国有资本经营预算拨款</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（三）国防支出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二、上年结转</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（四）公共安全支出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2,672.27</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（一）一般公共预算拨款</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（五）教育支出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（二）政府性基金预算拨款</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（六）科学技术支出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（三）国有资本经营预算拨款</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（七）文化旅游体育与传媒支出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（八）社会保障和就业支出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186.21</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（九）卫生健康支出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（十）节能环保支出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（十一）城乡社区支出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（十二）农林水支出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（十三）交通运输支出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（十四）资源勘探工业信息等支出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（十五）商业服务业等支出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（十六）金融支出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（十七）援助其他地区支出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（十八）自然资源海洋气象等支出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（十九）住房保障支出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488.26</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（二十）粮油物资储备支出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 xml:space="preserve"> （二十一）灾害防治及应急管理支出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 xml:space="preserve"> （二十二）其他支出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left"/>
              <w:rPr>
                <w:rFonts w:cs="Arial"/>
                <w:color w:val="000000"/>
                <w:sz w:val="18"/>
                <w:szCs w:val="18"/>
              </w:rPr>
            </w:pPr>
            <w:r>
              <w:rPr>
                <w:rFonts w:hint="eastAsia" w:cs="Arial"/>
                <w:color w:val="000000"/>
                <w:sz w:val="18"/>
                <w:szCs w:val="18"/>
              </w:rPr>
              <w:t>二、年终结转结余</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7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　</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收入总计</w:t>
            </w:r>
          </w:p>
        </w:tc>
        <w:tc>
          <w:tcPr>
            <w:tcW w:w="0" w:type="auto"/>
            <w:gridSpan w:val="2"/>
            <w:tcBorders>
              <w:top w:val="nil"/>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支出总计</w:t>
            </w:r>
          </w:p>
        </w:tc>
        <w:tc>
          <w:tcPr>
            <w:tcW w:w="0" w:type="auto"/>
            <w:tcBorders>
              <w:top w:val="nil"/>
              <w:left w:val="nil"/>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3,346.74</w:t>
            </w:r>
          </w:p>
        </w:tc>
        <w:tc>
          <w:tcPr>
            <w:tcW w:w="0" w:type="auto"/>
            <w:vAlign w:val="center"/>
          </w:tcPr>
          <w:p>
            <w:pPr>
              <w:rPr>
                <w:rFonts w:eastAsia="Times New Roman"/>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公开05表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435" w:hRule="atLeast"/>
        </w:trPr>
        <w:tc>
          <w:tcPr>
            <w:tcW w:w="0" w:type="auto"/>
            <w:gridSpan w:val="7"/>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 xml:space="preserve">     财政拨款支出表（功能科目）</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single" w:color="000000" w:sz="4" w:space="0"/>
              <w:right w:val="nil"/>
            </w:tcBorders>
            <w:shd w:val="clear" w:color="000000" w:fill="FFFFFF"/>
            <w:noWrap/>
            <w:vAlign w:val="center"/>
          </w:tcPr>
          <w:p>
            <w:pPr>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000000" w:fill="FFFFFF"/>
            <w:noWrap/>
            <w:vAlign w:val="center"/>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nil"/>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vMerge w:val="restart"/>
            <w:tcBorders>
              <w:top w:val="nil"/>
              <w:left w:val="single" w:color="000000" w:sz="4" w:space="0"/>
              <w:bottom w:val="nil"/>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项目支出</w:t>
            </w:r>
          </w:p>
        </w:tc>
      </w:tr>
      <w:tr>
        <w:tblPrEx>
          <w:tblCellMar>
            <w:top w:w="0" w:type="dxa"/>
            <w:left w:w="108" w:type="dxa"/>
            <w:bottom w:w="0" w:type="dxa"/>
            <w:right w:w="108" w:type="dxa"/>
          </w:tblCellMar>
        </w:tblPrEx>
        <w:trPr>
          <w:trHeight w:val="250" w:hRule="atLeast"/>
        </w:trPr>
        <w:tc>
          <w:tcPr>
            <w:tcW w:w="0" w:type="auto"/>
            <w:vMerge w:val="continue"/>
            <w:tcBorders>
              <w:top w:val="nil"/>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nil"/>
              <w:left w:val="single" w:color="000000" w:sz="4" w:space="0"/>
              <w:bottom w:val="nil"/>
              <w:right w:val="nil"/>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小计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人员经费</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2,369.74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2,134.35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检察</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行政运行</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540.00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540.00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其他检察支出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437.00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437.00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208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20805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行政事业单位养老支出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2080501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住房保障支出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住房改革支出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提租补贴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购房补贴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3"/>
            <w:tcBorders>
              <w:top w:val="single" w:color="000000"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1980"/>
        <w:gridCol w:w="3608"/>
        <w:gridCol w:w="3312"/>
        <w:gridCol w:w="1390"/>
        <w:gridCol w:w="1543"/>
        <w:gridCol w:w="1543"/>
        <w:gridCol w:w="1116"/>
      </w:tblGrid>
      <w:tr>
        <w:tblPrEx>
          <w:tblCellMar>
            <w:top w:w="0" w:type="dxa"/>
            <w:left w:w="108" w:type="dxa"/>
            <w:bottom w:w="0" w:type="dxa"/>
            <w:right w:w="108" w:type="dxa"/>
          </w:tblCellMar>
        </w:tblPrEx>
        <w:trPr>
          <w:trHeight w:val="600" w:hRule="atLeast"/>
        </w:trPr>
        <w:tc>
          <w:tcPr>
            <w:tcW w:w="0" w:type="auto"/>
            <w:gridSpan w:val="2"/>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公开06表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gridSpan w:val="2"/>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 xml:space="preserve">   财政拨款基本支出表(经济科目)</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single" w:color="000000" w:sz="4" w:space="0"/>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gridSpan w:val="2"/>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gridSpan w:val="3"/>
            <w:tcBorders>
              <w:top w:val="single" w:color="000000" w:sz="4" w:space="0"/>
              <w:left w:val="single" w:color="000000" w:sz="4" w:space="0"/>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部门预算支出经济分类科目</w:t>
            </w:r>
          </w:p>
        </w:tc>
        <w:tc>
          <w:tcPr>
            <w:tcW w:w="0" w:type="auto"/>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本年财政拨款基本支出</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人员经费</w:t>
            </w:r>
          </w:p>
        </w:tc>
        <w:tc>
          <w:tcPr>
            <w:tcW w:w="0" w:type="auto"/>
            <w:gridSpan w:val="2"/>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公用经费</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2,369.74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2,134.35</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1,953.41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1,953.41</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基本工资</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127.51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127.51</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津贴补贴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729.61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729.61</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奖金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197.13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197.13</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30112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其他社会保障缴费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276.74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276.74</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468.24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468.24</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21.17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21.17</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6.12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6.12</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1.53</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5.61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5.61</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13.77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13.77</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8.67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8.67</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11.48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11.48</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3.83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3.83</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30228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3.06</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30229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13.16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13.16</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30231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25.00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25.00</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30239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72.13</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31.50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31.50</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180.93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180.93</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退休费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160.89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160.89</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生活补助</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18.60</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2"/>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奖励金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1.44</w:t>
            </w:r>
          </w:p>
        </w:tc>
        <w:tc>
          <w:tcPr>
            <w:tcW w:w="0" w:type="auto"/>
            <w:gridSpan w:val="2"/>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gridAfter w:val="1"/>
          <w:wAfter w:w="857" w:type="dxa"/>
          <w:trHeight w:val="250" w:hRule="atLeast"/>
        </w:trPr>
        <w:tc>
          <w:tcPr>
            <w:tcW w:w="0" w:type="auto"/>
            <w:gridSpan w:val="4"/>
            <w:tcBorders>
              <w:top w:val="single" w:color="000000"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　</w:t>
            </w:r>
          </w:p>
        </w:tc>
        <w:tc>
          <w:tcPr>
            <w:tcW w:w="0" w:type="auto"/>
            <w:gridSpan w:val="2"/>
            <w:tcBorders>
              <w:top w:val="nil"/>
              <w:left w:val="nil"/>
              <w:bottom w:val="nil"/>
              <w:right w:val="nil"/>
            </w:tcBorders>
            <w:shd w:val="clear" w:color="auto" w:fill="auto"/>
            <w:noWrap/>
            <w:vAlign w:val="bottom"/>
          </w:tcPr>
          <w:p>
            <w:pPr>
              <w:rPr>
                <w:rFonts w:eastAsiaTheme="minorEastAsia"/>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公开07表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一般公共预算支出表</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nil"/>
              <w:right w:val="nil"/>
            </w:tcBorders>
            <w:shd w:val="clear" w:color="000000" w:fill="FFFFFF"/>
            <w:noWrap/>
            <w:vAlign w:val="center"/>
          </w:tcPr>
          <w:p>
            <w:pPr>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gridSpan w:val="3"/>
            <w:tcBorders>
              <w:top w:val="single" w:color="000000" w:sz="4" w:space="0"/>
              <w:left w:val="nil"/>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基本支出</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项目支出</w:t>
            </w:r>
          </w:p>
        </w:tc>
      </w:tr>
      <w:tr>
        <w:tblPrEx>
          <w:tblCellMar>
            <w:top w:w="0" w:type="dxa"/>
            <w:left w:w="108" w:type="dxa"/>
            <w:bottom w:w="0" w:type="dxa"/>
            <w:right w:w="108" w:type="dxa"/>
          </w:tblCellMar>
        </w:tblPrEx>
        <w:trPr>
          <w:trHeight w:val="250" w:hRule="atLeast"/>
        </w:trPr>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小计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人员经费</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公用经费</w:t>
            </w: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b/>
                <w:bCs/>
                <w:color w:val="000000"/>
                <w:sz w:val="18"/>
                <w:szCs w:val="18"/>
              </w:rPr>
            </w:pPr>
            <w:r>
              <w:rPr>
                <w:rFonts w:hint="eastAsia" w:cs="Arial"/>
                <w:b/>
                <w:bCs/>
                <w:color w:val="000000"/>
                <w:sz w:val="18"/>
                <w:szCs w:val="18"/>
              </w:rPr>
              <w:t>合计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3,346.74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2,369.74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2,134.35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检察</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2,672.27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977.00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行政运行</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1,695.27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1,466.59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228.68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540.00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540.00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2040499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其他检察支出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437.00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437.00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208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20805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行政事业单位养老支出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2080501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179.49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6.72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221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住房保障支出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住房改革支出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488.26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提租补贴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165.54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2210203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购房补贴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168.54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3"/>
            <w:tcBorders>
              <w:top w:val="single" w:color="000000"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2726"/>
        <w:gridCol w:w="4824"/>
        <w:gridCol w:w="2024"/>
        <w:gridCol w:w="2247"/>
        <w:gridCol w:w="2671"/>
      </w:tblGrid>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公开08表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510" w:hRule="atLeast"/>
        </w:trPr>
        <w:tc>
          <w:tcPr>
            <w:tcW w:w="0" w:type="auto"/>
            <w:gridSpan w:val="5"/>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一般公共预算基本支出表</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single" w:color="000000" w:sz="4" w:space="0"/>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gridSpan w:val="2"/>
            <w:tcBorders>
              <w:top w:val="single" w:color="000000" w:sz="4" w:space="0"/>
              <w:left w:val="single" w:color="000000" w:sz="4" w:space="0"/>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本年一般公共预算基本支出</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人员经费</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公用经费</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2,369.74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2,134.35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1,953.41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1,953.41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基本工资</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127.51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127.51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津贴补贴</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729.61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729.61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奖金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197.13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197.13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30112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其他社会保障缴费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276.74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276.74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154.18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30199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468.24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468.24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21.17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21.17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6.12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6.12</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30207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5.61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5.61</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13.77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13.77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8.67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8.67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11.48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11.48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30217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3.83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3.83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30228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3.06</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30229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13.16</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13.16</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30231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25.00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25.00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30239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72.13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72.13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30299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31.50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31.50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180.93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180.93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退休费</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160.89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160.89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生活补助</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18.60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30309</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xml:space="preserve">  奖励金</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1.44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3"/>
            <w:tcBorders>
              <w:top w:val="single" w:color="000000"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bl>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2735"/>
        <w:gridCol w:w="2032"/>
        <w:gridCol w:w="888"/>
        <w:gridCol w:w="2111"/>
        <w:gridCol w:w="2626"/>
        <w:gridCol w:w="1602"/>
        <w:gridCol w:w="1086"/>
        <w:gridCol w:w="1412"/>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公开09表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vAlign w:val="center"/>
          </w:tcPr>
          <w:p>
            <w:pPr>
              <w:jc w:val="center"/>
              <w:rPr>
                <w:rFonts w:ascii="宋体" w:hAnsi="宋体" w:cs="Arial"/>
                <w:b/>
                <w:bCs/>
                <w:color w:val="000000"/>
                <w:sz w:val="24"/>
              </w:rPr>
            </w:pPr>
            <w:r>
              <w:rPr>
                <w:rFonts w:hint="eastAsia" w:cs="Arial"/>
                <w:b/>
                <w:bCs/>
                <w:color w:val="000000"/>
              </w:rPr>
              <w:t>一般公共预算"三公"经费、会议费、培训费支出表</w:t>
            </w:r>
          </w:p>
        </w:tc>
      </w:tr>
      <w:tr>
        <w:tblPrEx>
          <w:tblCellMar>
            <w:top w:w="0" w:type="dxa"/>
            <w:left w:w="108" w:type="dxa"/>
            <w:bottom w:w="0" w:type="dxa"/>
            <w:right w:w="108" w:type="dxa"/>
          </w:tblCellMar>
        </w:tblPrEx>
        <w:trPr>
          <w:trHeight w:val="250" w:hRule="atLeast"/>
        </w:trPr>
        <w:tc>
          <w:tcPr>
            <w:tcW w:w="0" w:type="auto"/>
            <w:gridSpan w:val="2"/>
            <w:tcBorders>
              <w:top w:val="nil"/>
              <w:left w:val="nil"/>
              <w:bottom w:val="nil"/>
              <w:right w:val="nil"/>
            </w:tcBorders>
            <w:shd w:val="clear" w:color="auto" w:fill="auto"/>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因公出国(境)费</w:t>
            </w:r>
          </w:p>
        </w:tc>
        <w:tc>
          <w:tcPr>
            <w:tcW w:w="0" w:type="auto"/>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会议费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培训费</w:t>
            </w:r>
          </w:p>
        </w:tc>
      </w:tr>
      <w:tr>
        <w:tblPrEx>
          <w:tblCellMar>
            <w:top w:w="0" w:type="dxa"/>
            <w:left w:w="108" w:type="dxa"/>
            <w:bottom w:w="0" w:type="dxa"/>
            <w:right w:w="108" w:type="dxa"/>
          </w:tblCellMar>
        </w:tblPrEx>
        <w:trPr>
          <w:trHeight w:val="25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小计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公务用车购置费</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color w:val="000000"/>
                <w:sz w:val="18"/>
                <w:szCs w:val="18"/>
              </w:rPr>
            </w:pPr>
            <w:r>
              <w:rPr>
                <w:rFonts w:hint="eastAsia" w:cs="Arial"/>
                <w:color w:val="000000"/>
                <w:sz w:val="18"/>
                <w:szCs w:val="18"/>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b/>
                <w:bCs/>
                <w:color w:val="000000"/>
                <w:sz w:val="18"/>
                <w:szCs w:val="18"/>
              </w:rPr>
            </w:pP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28.83</w:t>
            </w:r>
          </w:p>
        </w:tc>
        <w:tc>
          <w:tcPr>
            <w:tcW w:w="0" w:type="auto"/>
            <w:tcBorders>
              <w:top w:val="nil"/>
              <w:left w:val="nil"/>
              <w:bottom w:val="single" w:color="000000" w:sz="4" w:space="0"/>
              <w:right w:val="single" w:color="000000" w:sz="4" w:space="0"/>
            </w:tcBorders>
            <w:shd w:val="clear" w:color="auto" w:fill="auto"/>
            <w:noWrap/>
            <w:vAlign w:val="bottom"/>
          </w:tcPr>
          <w:p>
            <w:pPr>
              <w:jc w:val="left"/>
              <w:rPr>
                <w:rFonts w:cs="Arial"/>
                <w:color w:val="000000"/>
                <w:sz w:val="18"/>
                <w:szCs w:val="18"/>
              </w:rPr>
            </w:pPr>
            <w:r>
              <w:rPr>
                <w:rFonts w:cs="Arial"/>
                <w:color w:val="000000"/>
                <w:sz w:val="18"/>
                <w:szCs w:val="18"/>
              </w:rPr>
              <w:t>0.00</w:t>
            </w:r>
          </w:p>
        </w:tc>
        <w:tc>
          <w:tcPr>
            <w:tcW w:w="0" w:type="auto"/>
            <w:tcBorders>
              <w:top w:val="nil"/>
              <w:left w:val="nil"/>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25.00</w:t>
            </w:r>
          </w:p>
        </w:tc>
        <w:tc>
          <w:tcPr>
            <w:tcW w:w="0" w:type="auto"/>
            <w:tcBorders>
              <w:top w:val="nil"/>
              <w:left w:val="nil"/>
              <w:bottom w:val="single" w:color="000000" w:sz="4" w:space="0"/>
              <w:right w:val="single" w:color="000000" w:sz="4" w:space="0"/>
            </w:tcBorders>
            <w:shd w:val="clear" w:color="auto" w:fill="auto"/>
            <w:noWrap/>
            <w:vAlign w:val="bottom"/>
          </w:tcPr>
          <w:p>
            <w:pPr>
              <w:jc w:val="left"/>
              <w:rPr>
                <w:rFonts w:cs="Arial"/>
                <w:color w:val="000000"/>
                <w:sz w:val="18"/>
                <w:szCs w:val="18"/>
              </w:rPr>
            </w:pPr>
            <w:r>
              <w:rPr>
                <w:rFonts w:cs="Arial"/>
                <w:color w:val="000000"/>
                <w:sz w:val="18"/>
                <w:szCs w:val="18"/>
              </w:rPr>
              <w:t>0.00</w:t>
            </w:r>
          </w:p>
        </w:tc>
        <w:tc>
          <w:tcPr>
            <w:tcW w:w="0" w:type="auto"/>
            <w:tcBorders>
              <w:top w:val="nil"/>
              <w:left w:val="nil"/>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25.00</w:t>
            </w:r>
          </w:p>
        </w:tc>
        <w:tc>
          <w:tcPr>
            <w:tcW w:w="0" w:type="auto"/>
            <w:tcBorders>
              <w:top w:val="nil"/>
              <w:left w:val="nil"/>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3.83</w:t>
            </w:r>
          </w:p>
        </w:tc>
        <w:tc>
          <w:tcPr>
            <w:tcW w:w="0" w:type="auto"/>
            <w:tcBorders>
              <w:top w:val="nil"/>
              <w:left w:val="nil"/>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8.67</w:t>
            </w:r>
          </w:p>
        </w:tc>
        <w:tc>
          <w:tcPr>
            <w:tcW w:w="0" w:type="auto"/>
            <w:tcBorders>
              <w:top w:val="nil"/>
              <w:left w:val="nil"/>
              <w:bottom w:val="single" w:color="000000" w:sz="4" w:space="0"/>
              <w:right w:val="single" w:color="000000" w:sz="4" w:space="0"/>
            </w:tcBorders>
            <w:shd w:val="clear" w:color="auto" w:fill="auto"/>
            <w:vAlign w:val="bottom"/>
          </w:tcPr>
          <w:p>
            <w:pPr>
              <w:jc w:val="right"/>
              <w:rPr>
                <w:rFonts w:cs="Arial"/>
                <w:color w:val="000000"/>
                <w:sz w:val="18"/>
                <w:szCs w:val="18"/>
              </w:rPr>
            </w:pPr>
            <w:r>
              <w:rPr>
                <w:rFonts w:hint="eastAsia" w:cs="Arial"/>
                <w:color w:val="000000"/>
                <w:sz w:val="18"/>
                <w:szCs w:val="18"/>
              </w:rPr>
              <w:t>11.48</w:t>
            </w: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4658"/>
        <w:gridCol w:w="3102"/>
        <w:gridCol w:w="2268"/>
        <w:gridCol w:w="2040"/>
        <w:gridCol w:w="2424"/>
      </w:tblGrid>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公开</w:t>
            </w:r>
            <w:r>
              <w:rPr>
                <w:rFonts w:hint="eastAsia" w:ascii="Arial" w:hAnsi="Arial" w:cs="Arial"/>
                <w:kern w:val="0"/>
                <w:sz w:val="20"/>
                <w:szCs w:val="20"/>
              </w:rPr>
              <w:t>10表</w:t>
            </w:r>
          </w:p>
        </w:tc>
        <w:tc>
          <w:tcPr>
            <w:tcW w:w="0" w:type="auto"/>
            <w:tcBorders>
              <w:top w:val="nil"/>
              <w:left w:val="nil"/>
              <w:bottom w:val="nil"/>
              <w:right w:val="nil"/>
            </w:tcBorders>
            <w:shd w:val="clear" w:color="auto" w:fill="auto"/>
            <w:noWrap/>
            <w:vAlign w:val="bottom"/>
          </w:tcPr>
          <w:p>
            <w:pPr>
              <w:widowControl/>
              <w:jc w:val="left"/>
              <w:rPr>
                <w:rFonts w:ascii="Arial" w:hAnsi="Arial" w:cs="Arial"/>
                <w:sz w:val="20"/>
                <w:szCs w:val="20"/>
              </w:rPr>
            </w:pPr>
          </w:p>
          <w:p>
            <w:pPr>
              <w:widowControl/>
              <w:jc w:val="left"/>
              <w:rPr>
                <w:rFonts w:ascii="Arial" w:hAnsi="Arial" w:cs="Arial"/>
                <w:sz w:val="20"/>
                <w:szCs w:val="20"/>
              </w:rPr>
            </w:pPr>
          </w:p>
          <w:p>
            <w:pPr>
              <w:widowControl/>
              <w:jc w:val="left"/>
              <w:rPr>
                <w:rFonts w:ascii="Arial" w:hAnsi="Arial" w:cs="Arial"/>
                <w:sz w:val="20"/>
                <w:szCs w:val="20"/>
              </w:rPr>
            </w:pPr>
          </w:p>
          <w:p>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343" w:hRule="atLeast"/>
        </w:trPr>
        <w:tc>
          <w:tcPr>
            <w:tcW w:w="0" w:type="auto"/>
            <w:gridSpan w:val="5"/>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政府性基金预算支出表</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nil"/>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cs="Arial"/>
                <w:color w:val="000000"/>
                <w:sz w:val="18"/>
                <w:szCs w:val="18"/>
              </w:rPr>
            </w:pPr>
          </w:p>
        </w:tc>
        <w:tc>
          <w:tcPr>
            <w:tcW w:w="0" w:type="auto"/>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gridSpan w:val="3"/>
            <w:tcBorders>
              <w:top w:val="single" w:color="000000" w:sz="4" w:space="0"/>
              <w:left w:val="nil"/>
              <w:bottom w:val="single" w:color="000000" w:sz="4" w:space="0"/>
              <w:right w:val="single" w:color="auto"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本年政府性基金预算支出</w:t>
            </w:r>
          </w:p>
        </w:tc>
      </w:tr>
      <w:tr>
        <w:tblPrEx>
          <w:tblCellMar>
            <w:top w:w="0" w:type="dxa"/>
            <w:left w:w="108" w:type="dxa"/>
            <w:bottom w:w="0" w:type="dxa"/>
            <w:right w:w="108" w:type="dxa"/>
          </w:tblCellMar>
        </w:tblPrEx>
        <w:trPr>
          <w:trHeight w:val="250" w:hRule="atLeast"/>
        </w:trPr>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基本支出</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项目支出</w:t>
            </w: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b/>
                <w:bCs/>
                <w:color w:val="000000"/>
                <w:sz w:val="18"/>
                <w:szCs w:val="18"/>
              </w:rPr>
            </w:pPr>
            <w:r>
              <w:rPr>
                <w:rFonts w:hint="eastAsia" w:cs="Arial"/>
                <w:b/>
                <w:bCs/>
                <w:color w:val="000000"/>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0.00</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3"/>
            <w:tcBorders>
              <w:top w:val="nil"/>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注：本表为空表，本部门无政府性基金支出预算。</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bl>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4025"/>
        <w:gridCol w:w="6068"/>
        <w:gridCol w:w="4587"/>
      </w:tblGrid>
      <w:tr>
        <w:tblPrEx>
          <w:tblCellMar>
            <w:top w:w="0" w:type="dxa"/>
            <w:left w:w="108" w:type="dxa"/>
            <w:bottom w:w="0" w:type="dxa"/>
            <w:right w:w="108" w:type="dxa"/>
          </w:tblCellMar>
        </w:tblPrEx>
        <w:trPr>
          <w:trHeight w:val="76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公开11表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650" w:hRule="atLeast"/>
        </w:trPr>
        <w:tc>
          <w:tcPr>
            <w:tcW w:w="0" w:type="auto"/>
            <w:gridSpan w:val="3"/>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一般公共预算机关运行经费支出预算表</w:t>
            </w:r>
          </w:p>
        </w:tc>
      </w:tr>
      <w:tr>
        <w:tblPrEx>
          <w:tblCellMar>
            <w:top w:w="0" w:type="dxa"/>
            <w:left w:w="108" w:type="dxa"/>
            <w:bottom w:w="0" w:type="dxa"/>
            <w:right w:w="108" w:type="dxa"/>
          </w:tblCellMar>
        </w:tblPrEx>
        <w:trPr>
          <w:trHeight w:val="250" w:hRule="atLeast"/>
        </w:trPr>
        <w:tc>
          <w:tcPr>
            <w:tcW w:w="0" w:type="auto"/>
            <w:gridSpan w:val="2"/>
            <w:tcBorders>
              <w:top w:val="nil"/>
              <w:left w:val="nil"/>
              <w:bottom w:val="nil"/>
              <w:right w:val="nil"/>
            </w:tcBorders>
            <w:shd w:val="clear" w:color="000000" w:fill="FFFFFF"/>
            <w:noWrap/>
            <w:vAlign w:val="center"/>
          </w:tcPr>
          <w:p>
            <w:pPr>
              <w:jc w:val="left"/>
              <w:rPr>
                <w:rFonts w:cs="Arial"/>
                <w:color w:val="000000"/>
                <w:sz w:val="18"/>
                <w:szCs w:val="18"/>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000000" w:fill="FFFFFF"/>
            <w:noWrap/>
            <w:vAlign w:val="center"/>
          </w:tcPr>
          <w:p>
            <w:pPr>
              <w:jc w:val="right"/>
              <w:rPr>
                <w:rFonts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科目编码</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科目名称</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机关运行经费支出</w:t>
            </w:r>
          </w:p>
        </w:tc>
      </w:tr>
      <w:tr>
        <w:tblPrEx>
          <w:tblCellMar>
            <w:top w:w="0" w:type="dxa"/>
            <w:left w:w="108" w:type="dxa"/>
            <w:bottom w:w="0" w:type="dxa"/>
            <w:right w:w="108" w:type="dxa"/>
          </w:tblCellMar>
        </w:tblPrEx>
        <w:trPr>
          <w:trHeight w:val="250" w:hRule="atLeast"/>
        </w:trPr>
        <w:tc>
          <w:tcPr>
            <w:tcW w:w="0" w:type="auto"/>
            <w:gridSpan w:val="2"/>
            <w:tcBorders>
              <w:top w:val="single" w:color="000000" w:sz="4" w:space="0"/>
              <w:left w:val="single" w:color="000000" w:sz="4" w:space="0"/>
              <w:bottom w:val="single" w:color="000000" w:sz="4" w:space="0"/>
              <w:right w:val="nil"/>
            </w:tcBorders>
            <w:shd w:val="clear" w:color="000000" w:fill="FFFFFF"/>
            <w:vAlign w:val="center"/>
          </w:tcPr>
          <w:p>
            <w:pPr>
              <w:jc w:val="center"/>
              <w:rPr>
                <w:rFonts w:cs="Arial"/>
                <w:b/>
                <w:bCs/>
                <w:color w:val="000000"/>
                <w:sz w:val="18"/>
                <w:szCs w:val="18"/>
              </w:rPr>
            </w:pPr>
            <w:r>
              <w:rPr>
                <w:rFonts w:hint="eastAsia" w:cs="Arial"/>
                <w:b/>
                <w:bCs/>
                <w:color w:val="000000"/>
                <w:sz w:val="18"/>
                <w:szCs w:val="18"/>
              </w:rPr>
              <w:t>合计</w:t>
            </w:r>
          </w:p>
        </w:tc>
        <w:tc>
          <w:tcPr>
            <w:tcW w:w="0" w:type="auto"/>
            <w:tcBorders>
              <w:top w:val="nil"/>
              <w:left w:val="single" w:color="000000" w:sz="4" w:space="0"/>
              <w:bottom w:val="single" w:color="000000" w:sz="4" w:space="0"/>
              <w:right w:val="single" w:color="000000" w:sz="4" w:space="0"/>
            </w:tcBorders>
            <w:shd w:val="clear" w:color="000000" w:fill="FFFFFF"/>
            <w:noWrap/>
            <w:vAlign w:val="bottom"/>
          </w:tcPr>
          <w:p>
            <w:pPr>
              <w:jc w:val="left"/>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商品和服务支出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235.39</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办公费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21.17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30202</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印刷费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6.12</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30205</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水费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1.53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电费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邮电费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5.61</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30208</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取暖费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30209</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物业管理费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差旅费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13.77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30213</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维修（护）费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9.18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30215</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会议费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8.67</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30216</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培训费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11.48</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30217</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公务接待费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3.83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30218</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专用材料费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30228</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工会经费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3.06</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30229</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福利费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13.16</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30231</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公务用车运行维护费</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25.00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30239</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其他交通费用</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72.13</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30299</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其他商品和服务支出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31.50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310</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资本性支出</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31002</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办公设备购置</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31019</w:t>
            </w:r>
          </w:p>
        </w:tc>
        <w:tc>
          <w:tcPr>
            <w:tcW w:w="0" w:type="auto"/>
            <w:tcBorders>
              <w:top w:val="nil"/>
              <w:left w:val="nil"/>
              <w:bottom w:val="single" w:color="000000" w:sz="4" w:space="0"/>
              <w:right w:val="single" w:color="000000" w:sz="4" w:space="0"/>
            </w:tcBorders>
            <w:shd w:val="clear" w:color="000000" w:fill="FFFFFF"/>
            <w:vAlign w:val="center"/>
          </w:tcPr>
          <w:p>
            <w:pPr>
              <w:rPr>
                <w:rFonts w:cs="Arial"/>
                <w:color w:val="000000"/>
                <w:sz w:val="18"/>
                <w:szCs w:val="18"/>
              </w:rPr>
            </w:pPr>
            <w:r>
              <w:rPr>
                <w:rFonts w:hint="eastAsia" w:cs="Arial"/>
                <w:color w:val="000000"/>
                <w:sz w:val="18"/>
                <w:szCs w:val="18"/>
              </w:rPr>
              <w:t>其他交通工具购置</w:t>
            </w:r>
          </w:p>
        </w:tc>
        <w:tc>
          <w:tcPr>
            <w:tcW w:w="0" w:type="auto"/>
            <w:tcBorders>
              <w:top w:val="nil"/>
              <w:left w:val="nil"/>
              <w:bottom w:val="single" w:color="000000" w:sz="4" w:space="0"/>
              <w:right w:val="single" w:color="000000" w:sz="4" w:space="0"/>
            </w:tcBorders>
            <w:shd w:val="clear" w:color="000000" w:fill="FFFFFF"/>
            <w:noWrap/>
            <w:vAlign w:val="bottom"/>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gridSpan w:val="3"/>
            <w:tcBorders>
              <w:top w:val="single" w:color="000000"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tc>
      </w:tr>
    </w:tbl>
    <w:p>
      <w:pPr>
        <w:spacing w:line="550" w:lineRule="exact"/>
        <w:rPr>
          <w:rFonts w:ascii="宋体" w:hAnsi="宋体"/>
        </w:rPr>
      </w:pPr>
    </w:p>
    <w:p>
      <w:pPr>
        <w:spacing w:line="550" w:lineRule="exact"/>
        <w:rPr>
          <w:rFonts w:ascii="宋体" w:hAnsi="宋体"/>
        </w:rPr>
      </w:pPr>
    </w:p>
    <w:tbl>
      <w:tblPr>
        <w:tblStyle w:val="10"/>
        <w:tblW w:w="4900" w:type="pct"/>
        <w:tblInd w:w="108" w:type="dxa"/>
        <w:tblLayout w:type="autofit"/>
        <w:tblCellMar>
          <w:top w:w="0" w:type="dxa"/>
          <w:left w:w="108" w:type="dxa"/>
          <w:bottom w:w="0" w:type="dxa"/>
          <w:right w:w="108" w:type="dxa"/>
        </w:tblCellMar>
      </w:tblPr>
      <w:tblGrid>
        <w:gridCol w:w="1291"/>
        <w:gridCol w:w="2151"/>
        <w:gridCol w:w="886"/>
        <w:gridCol w:w="2556"/>
        <w:gridCol w:w="1283"/>
        <w:gridCol w:w="1570"/>
        <w:gridCol w:w="1050"/>
        <w:gridCol w:w="886"/>
        <w:gridCol w:w="1703"/>
        <w:gridCol w:w="1116"/>
      </w:tblGrid>
      <w:tr>
        <w:tblPrEx>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kern w:val="0"/>
                <w:sz w:val="20"/>
                <w:szCs w:val="20"/>
              </w:rPr>
            </w:pPr>
            <w:r>
              <w:rPr>
                <w:rFonts w:ascii="Arial" w:hAnsi="Arial" w:cs="Arial"/>
                <w:sz w:val="20"/>
                <w:szCs w:val="20"/>
              </w:rPr>
              <w:t>公开12表</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r>
        <w:tblPrEx>
          <w:tblCellMar>
            <w:top w:w="0" w:type="dxa"/>
            <w:left w:w="108" w:type="dxa"/>
            <w:bottom w:w="0" w:type="dxa"/>
            <w:right w:w="108" w:type="dxa"/>
          </w:tblCellMar>
        </w:tblPrEx>
        <w:trPr>
          <w:trHeight w:val="465" w:hRule="atLeast"/>
        </w:trPr>
        <w:tc>
          <w:tcPr>
            <w:tcW w:w="0" w:type="auto"/>
            <w:gridSpan w:val="10"/>
            <w:tcBorders>
              <w:top w:val="nil"/>
              <w:left w:val="nil"/>
              <w:bottom w:val="nil"/>
              <w:right w:val="nil"/>
            </w:tcBorders>
            <w:shd w:val="clear" w:color="000000" w:fill="FFFFFF"/>
            <w:vAlign w:val="center"/>
          </w:tcPr>
          <w:p>
            <w:pPr>
              <w:jc w:val="center"/>
              <w:rPr>
                <w:rFonts w:ascii="宋体" w:hAnsi="宋体" w:cs="Arial"/>
                <w:b/>
                <w:bCs/>
                <w:color w:val="000000"/>
                <w:sz w:val="24"/>
              </w:rPr>
            </w:pPr>
            <w:r>
              <w:rPr>
                <w:rFonts w:hint="eastAsia" w:cs="Arial"/>
                <w:b/>
                <w:bCs/>
                <w:color w:val="000000"/>
              </w:rPr>
              <w:t>政府采购支出表</w:t>
            </w:r>
          </w:p>
        </w:tc>
      </w:tr>
      <w:tr>
        <w:tblPrEx>
          <w:tblCellMar>
            <w:top w:w="0" w:type="dxa"/>
            <w:left w:w="108" w:type="dxa"/>
            <w:bottom w:w="0" w:type="dxa"/>
            <w:right w:w="108" w:type="dxa"/>
          </w:tblCellMar>
        </w:tblPrEx>
        <w:trPr>
          <w:trHeight w:val="250" w:hRule="atLeast"/>
        </w:trPr>
        <w:tc>
          <w:tcPr>
            <w:tcW w:w="0" w:type="auto"/>
            <w:gridSpan w:val="5"/>
            <w:tcBorders>
              <w:top w:val="nil"/>
              <w:left w:val="nil"/>
              <w:bottom w:val="nil"/>
              <w:right w:val="nil"/>
            </w:tcBorders>
            <w:shd w:val="clear" w:color="000000" w:fill="FFFFFF"/>
            <w:noWrap/>
            <w:vAlign w:val="center"/>
          </w:tcPr>
          <w:p>
            <w:pPr>
              <w:rPr>
                <w:rFonts w:eastAsia="Times New Roman"/>
                <w:sz w:val="20"/>
                <w:szCs w:val="20"/>
              </w:rPr>
            </w:pPr>
            <w:r>
              <w:rPr>
                <w:rFonts w:hint="eastAsia" w:cs="Arial"/>
                <w:color w:val="000000"/>
                <w:sz w:val="18"/>
                <w:szCs w:val="18"/>
              </w:rPr>
              <w:t>部门/单位：南京市雨花台区人民检察院</w:t>
            </w: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gridSpan w:val="2"/>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000000" w:fill="FFFFFF"/>
            <w:noWrap/>
            <w:vAlign w:val="bottom"/>
          </w:tcPr>
          <w:p>
            <w:pPr>
              <w:jc w:val="right"/>
              <w:rPr>
                <w:rFonts w:ascii="宋体" w:hAnsi="宋体" w:cs="Arial"/>
                <w:color w:val="000000"/>
                <w:sz w:val="18"/>
                <w:szCs w:val="18"/>
              </w:rPr>
            </w:pPr>
            <w:r>
              <w:rPr>
                <w:rFonts w:hint="eastAsia" w:cs="Arial"/>
                <w:color w:val="000000"/>
                <w:sz w:val="18"/>
                <w:szCs w:val="18"/>
              </w:rPr>
              <w:t>单位：万元</w:t>
            </w:r>
          </w:p>
        </w:tc>
      </w:tr>
      <w:tr>
        <w:tblPrEx>
          <w:tblCellMar>
            <w:top w:w="0" w:type="dxa"/>
            <w:left w:w="108" w:type="dxa"/>
            <w:bottom w:w="0" w:type="dxa"/>
            <w:right w:w="108" w:type="dxa"/>
          </w:tblCellMar>
        </w:tblPrEx>
        <w:trPr>
          <w:trHeight w:val="250" w:hRule="atLeast"/>
        </w:trPr>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采购品目大类</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专项名称</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经济科目</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采购物品名称</w:t>
            </w:r>
          </w:p>
        </w:tc>
        <w:tc>
          <w:tcPr>
            <w:tcW w:w="0" w:type="auto"/>
            <w:vMerge w:val="restart"/>
            <w:tcBorders>
              <w:top w:val="single" w:color="000000" w:sz="4" w:space="0"/>
              <w:left w:val="single" w:color="000000" w:sz="4" w:space="0"/>
              <w:bottom w:val="nil"/>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采购组织形式</w:t>
            </w:r>
          </w:p>
        </w:tc>
        <w:tc>
          <w:tcPr>
            <w:tcW w:w="0" w:type="auto"/>
            <w:gridSpan w:val="4"/>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资金来源</w:t>
            </w:r>
          </w:p>
        </w:tc>
        <w:tc>
          <w:tcPr>
            <w:tcW w:w="0" w:type="auto"/>
            <w:tcBorders>
              <w:top w:val="single" w:color="000000" w:sz="4" w:space="0"/>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　</w:t>
            </w:r>
          </w:p>
        </w:tc>
      </w:tr>
      <w:tr>
        <w:tblPrEx>
          <w:tblCellMar>
            <w:top w:w="0" w:type="dxa"/>
            <w:left w:w="108" w:type="dxa"/>
            <w:bottom w:w="0" w:type="dxa"/>
            <w:right w:w="108" w:type="dxa"/>
          </w:tblCellMar>
        </w:tblPrEx>
        <w:trPr>
          <w:trHeight w:val="250" w:hRule="atLeast"/>
        </w:trPr>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vMerge w:val="continue"/>
            <w:tcBorders>
              <w:top w:val="single" w:color="000000" w:sz="4" w:space="0"/>
              <w:left w:val="single" w:color="000000" w:sz="4" w:space="0"/>
              <w:bottom w:val="nil"/>
              <w:right w:val="single" w:color="000000" w:sz="4" w:space="0"/>
            </w:tcBorders>
            <w:vAlign w:val="center"/>
          </w:tcPr>
          <w:p>
            <w:pPr>
              <w:rPr>
                <w:rFonts w:ascii="宋体" w:hAnsi="宋体" w:cs="Arial"/>
                <w:b/>
                <w:bCs/>
                <w:color w:val="000000"/>
                <w:sz w:val="18"/>
                <w:szCs w:val="18"/>
              </w:rPr>
            </w:pP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一般公共预算资金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政府性基金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其他资金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上年结转和结余资金</w:t>
            </w:r>
          </w:p>
        </w:tc>
        <w:tc>
          <w:tcPr>
            <w:tcW w:w="0" w:type="auto"/>
            <w:tcBorders>
              <w:top w:val="nil"/>
              <w:left w:val="nil"/>
              <w:bottom w:val="single" w:color="000000" w:sz="4" w:space="0"/>
              <w:right w:val="single" w:color="000000" w:sz="4" w:space="0"/>
            </w:tcBorders>
            <w:shd w:val="clear" w:color="000000" w:fill="FFFFFF"/>
            <w:vAlign w:val="center"/>
          </w:tcPr>
          <w:p>
            <w:pPr>
              <w:jc w:val="center"/>
              <w:rPr>
                <w:rFonts w:cs="Arial"/>
                <w:b/>
                <w:bCs/>
                <w:color w:val="000000"/>
                <w:sz w:val="18"/>
                <w:szCs w:val="18"/>
              </w:rPr>
            </w:pPr>
            <w:r>
              <w:rPr>
                <w:rFonts w:hint="eastAsia" w:cs="Arial"/>
                <w:b/>
                <w:bCs/>
                <w:color w:val="000000"/>
                <w:sz w:val="18"/>
                <w:szCs w:val="18"/>
              </w:rPr>
              <w:t>总计</w:t>
            </w: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cs="Arial"/>
                <w:b/>
                <w:bCs/>
                <w:color w:val="000000"/>
                <w:sz w:val="18"/>
                <w:szCs w:val="18"/>
              </w:rPr>
            </w:pPr>
            <w:r>
              <w:rPr>
                <w:rFonts w:hint="eastAsia" w:cs="Arial"/>
                <w:b/>
                <w:bCs/>
                <w:color w:val="000000"/>
                <w:sz w:val="18"/>
                <w:szCs w:val="18"/>
              </w:rPr>
              <w:t>合计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280.50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280.50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1、货物类A</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60.50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60.50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A02010102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台式计算机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办公用台式计算机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A02010103</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便携式计算机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便携式计算机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1.60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A02010602</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激光打印机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A4黑白激光打印机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0.40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0.40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A02010605</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扫描仪</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扫描仪</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8.00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A020204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照相机及器材</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单反数码相机</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A02030708</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警车</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轿车</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18.00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A020801</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无线电通信设备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数字微波接力通信设备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5.00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A032504</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安全,检查,监视,报警设备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行李包裹检查设备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15.00</w:t>
            </w:r>
          </w:p>
        </w:tc>
      </w:tr>
      <w:tr>
        <w:tblPrEx>
          <w:tblCellMar>
            <w:top w:w="0" w:type="dxa"/>
            <w:left w:w="108" w:type="dxa"/>
            <w:bottom w:w="0" w:type="dxa"/>
            <w:right w:w="108" w:type="dxa"/>
          </w:tblCellMar>
        </w:tblPrEx>
        <w:trPr>
          <w:trHeight w:val="250" w:hRule="atLeast"/>
        </w:trPr>
        <w:tc>
          <w:tcPr>
            <w:tcW w:w="0" w:type="auto"/>
            <w:tcBorders>
              <w:top w:val="nil"/>
              <w:left w:val="single" w:color="000000" w:sz="4" w:space="0"/>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A032507</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警械设备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其他警械设备</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分散采购</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3.00</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rPr>
                <w:rFonts w:cs="Arial"/>
                <w:color w:val="000000"/>
                <w:sz w:val="18"/>
                <w:szCs w:val="18"/>
              </w:rPr>
            </w:pPr>
            <w:r>
              <w:rPr>
                <w:rFonts w:hint="eastAsia" w:cs="Arial"/>
                <w:color w:val="000000"/>
                <w:sz w:val="18"/>
                <w:szCs w:val="18"/>
              </w:rPr>
              <w:t>3.00</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2、工程类B</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0.00</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0.00</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3、服务类C</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220.00</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220.00</w:t>
            </w:r>
          </w:p>
        </w:tc>
      </w:tr>
      <w:tr>
        <w:tblPrEx>
          <w:tblCellMar>
            <w:top w:w="0" w:type="dxa"/>
            <w:left w:w="108" w:type="dxa"/>
            <w:bottom w:w="0" w:type="dxa"/>
            <w:right w:w="108" w:type="dxa"/>
          </w:tblCellMar>
        </w:tblPrEx>
        <w:trPr>
          <w:trHeight w:val="25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rPr>
                <w:rFonts w:hint="default" w:eastAsia="宋体" w:cs="Arial"/>
                <w:color w:val="000000"/>
                <w:sz w:val="18"/>
                <w:szCs w:val="18"/>
                <w:lang w:val="en-US" w:eastAsia="zh-CN"/>
              </w:rPr>
            </w:pPr>
            <w:r>
              <w:rPr>
                <w:rFonts w:hint="eastAsia" w:cs="Arial"/>
                <w:color w:val="000000"/>
                <w:sz w:val="18"/>
                <w:szCs w:val="18"/>
              </w:rPr>
              <w:t>　</w:t>
            </w:r>
            <w:r>
              <w:rPr>
                <w:rFonts w:hint="eastAsia" w:cs="Arial"/>
                <w:color w:val="000000"/>
                <w:sz w:val="18"/>
                <w:szCs w:val="18"/>
                <w:lang w:val="en-US" w:eastAsia="zh-CN"/>
              </w:rPr>
              <w:t>C1204</w:t>
            </w:r>
          </w:p>
        </w:tc>
        <w:tc>
          <w:tcPr>
            <w:tcW w:w="0" w:type="auto"/>
            <w:tcBorders>
              <w:top w:val="nil"/>
              <w:left w:val="nil"/>
              <w:bottom w:val="single" w:color="auto" w:sz="4" w:space="0"/>
              <w:right w:val="single" w:color="auto" w:sz="4" w:space="0"/>
            </w:tcBorders>
            <w:shd w:val="clear" w:color="000000" w:fill="FFFFFF"/>
            <w:noWrap/>
            <w:vAlign w:val="center"/>
          </w:tcPr>
          <w:p>
            <w:pPr>
              <w:rPr>
                <w:rFonts w:hint="default" w:eastAsia="宋体" w:cs="Arial"/>
                <w:color w:val="000000"/>
                <w:sz w:val="18"/>
                <w:szCs w:val="18"/>
                <w:lang w:val="en-US" w:eastAsia="zh-CN"/>
              </w:rPr>
            </w:pPr>
            <w:r>
              <w:rPr>
                <w:rFonts w:hint="eastAsia" w:cs="Arial"/>
                <w:color w:val="000000"/>
                <w:sz w:val="18"/>
                <w:szCs w:val="18"/>
                <w:lang w:val="en-US" w:eastAsia="zh-CN"/>
              </w:rPr>
              <w:t>大楼运行维护</w:t>
            </w:r>
            <w:bookmarkStart w:id="0" w:name="_GoBack"/>
            <w:bookmarkEnd w:id="0"/>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hint="default" w:eastAsia="宋体" w:cs="Arial"/>
                <w:color w:val="000000"/>
                <w:sz w:val="18"/>
                <w:szCs w:val="18"/>
                <w:lang w:val="en-US" w:eastAsia="zh-CN"/>
              </w:rPr>
            </w:pPr>
            <w:r>
              <w:rPr>
                <w:rFonts w:hint="eastAsia" w:cs="Arial"/>
                <w:color w:val="000000"/>
                <w:sz w:val="18"/>
                <w:szCs w:val="18"/>
              </w:rPr>
              <w:t>物业管理服务、大楼维保服务</w:t>
            </w:r>
          </w:p>
        </w:tc>
        <w:tc>
          <w:tcPr>
            <w:tcW w:w="0" w:type="auto"/>
            <w:tcBorders>
              <w:top w:val="nil"/>
              <w:left w:val="nil"/>
              <w:bottom w:val="single" w:color="auto" w:sz="4" w:space="0"/>
              <w:right w:val="single" w:color="auto" w:sz="4" w:space="0"/>
            </w:tcBorders>
            <w:shd w:val="clear" w:color="000000" w:fill="FFFFFF"/>
            <w:noWrap/>
            <w:vAlign w:val="center"/>
          </w:tcPr>
          <w:p>
            <w:pPr>
              <w:rPr>
                <w:rFonts w:hint="default" w:eastAsia="宋体" w:cs="Arial"/>
                <w:color w:val="000000"/>
                <w:sz w:val="18"/>
                <w:szCs w:val="18"/>
                <w:lang w:val="en-US" w:eastAsia="zh-CN"/>
              </w:rPr>
            </w:pPr>
            <w:r>
              <w:rPr>
                <w:rFonts w:hint="eastAsia" w:cs="Arial"/>
                <w:color w:val="000000"/>
                <w:sz w:val="18"/>
                <w:szCs w:val="18"/>
              </w:rPr>
              <w:t>　</w:t>
            </w:r>
            <w:r>
              <w:rPr>
                <w:rFonts w:hint="eastAsia" w:cs="Arial"/>
                <w:color w:val="000000"/>
                <w:sz w:val="18"/>
                <w:szCs w:val="18"/>
                <w:lang w:val="en-US" w:eastAsia="zh-CN"/>
              </w:rPr>
              <w:t>分散采购</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220.00</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18"/>
                <w:szCs w:val="18"/>
              </w:rPr>
            </w:pPr>
            <w:r>
              <w:rPr>
                <w:rFonts w:hint="eastAsia" w:cs="Arial"/>
                <w:color w:val="000000"/>
                <w:sz w:val="18"/>
                <w:szCs w:val="18"/>
              </w:rPr>
              <w:t>220.00</w:t>
            </w:r>
          </w:p>
        </w:tc>
      </w:tr>
      <w:tr>
        <w:tblPrEx>
          <w:tblCellMar>
            <w:top w:w="0" w:type="dxa"/>
            <w:left w:w="108" w:type="dxa"/>
            <w:bottom w:w="0" w:type="dxa"/>
            <w:right w:w="108" w:type="dxa"/>
          </w:tblCellMar>
        </w:tblPrEx>
        <w:trPr>
          <w:trHeight w:val="250" w:hRule="atLeast"/>
        </w:trPr>
        <w:tc>
          <w:tcPr>
            <w:tcW w:w="0" w:type="auto"/>
            <w:gridSpan w:val="3"/>
            <w:tcBorders>
              <w:top w:val="single" w:color="auto" w:sz="4" w:space="0"/>
              <w:left w:val="nil"/>
              <w:bottom w:val="nil"/>
              <w:right w:val="nil"/>
            </w:tcBorders>
            <w:shd w:val="clear" w:color="auto" w:fill="auto"/>
            <w:noWrap/>
            <w:vAlign w:val="bottom"/>
          </w:tcPr>
          <w:p>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c>
          <w:tcPr>
            <w:tcW w:w="0" w:type="auto"/>
            <w:tcBorders>
              <w:top w:val="nil"/>
              <w:left w:val="nil"/>
              <w:bottom w:val="nil"/>
              <w:right w:val="nil"/>
            </w:tcBorders>
            <w:shd w:val="clear" w:color="auto" w:fill="auto"/>
            <w:noWrap/>
            <w:vAlign w:val="bottom"/>
          </w:tcPr>
          <w:p>
            <w:pPr>
              <w:rPr>
                <w:rFonts w:eastAsia="Times New Roman"/>
                <w:sz w:val="20"/>
                <w:szCs w:val="20"/>
              </w:rPr>
            </w:pPr>
          </w:p>
        </w:tc>
      </w:tr>
    </w:tbl>
    <w:p>
      <w:pPr>
        <w:spacing w:line="550" w:lineRule="exact"/>
        <w:rPr>
          <w:rFonts w:ascii="宋体" w:hAnsi="宋体"/>
        </w:rPr>
      </w:pPr>
    </w:p>
    <w:p>
      <w:pPr>
        <w:spacing w:line="550" w:lineRule="exact"/>
        <w:rPr>
          <w:rFonts w:ascii="宋体" w:hAnsi="宋体"/>
        </w:rPr>
        <w:sectPr>
          <w:pgSz w:w="16840" w:h="11910" w:orient="landscape"/>
          <w:pgMar w:top="1304" w:right="1134" w:bottom="1134" w:left="1134" w:header="720" w:footer="720" w:gutter="0"/>
          <w:cols w:space="720" w:num="1"/>
        </w:sectPr>
      </w:pPr>
    </w:p>
    <w:p>
      <w:pPr>
        <w:spacing w:line="550" w:lineRule="exact"/>
        <w:jc w:val="center"/>
        <w:rPr>
          <w:rFonts w:ascii="宋体" w:hAnsi="宋体"/>
          <w:b/>
          <w:bCs/>
          <w:sz w:val="44"/>
          <w:szCs w:val="44"/>
        </w:rPr>
      </w:pPr>
      <w:r>
        <w:rPr>
          <w:rFonts w:ascii="宋体" w:hAnsi="宋体"/>
          <w:b/>
          <w:bCs/>
          <w:sz w:val="44"/>
          <w:szCs w:val="44"/>
        </w:rPr>
        <w:t>第三部分</w:t>
      </w:r>
      <w:r>
        <w:rPr>
          <w:rFonts w:ascii="宋体" w:hAnsi="宋体"/>
          <w:b/>
          <w:bCs/>
          <w:sz w:val="44"/>
          <w:szCs w:val="44"/>
        </w:rPr>
        <w:tab/>
      </w:r>
      <w:r>
        <w:rPr>
          <w:rFonts w:ascii="宋体" w:hAnsi="宋体"/>
          <w:b/>
          <w:bCs/>
          <w:sz w:val="44"/>
          <w:szCs w:val="44"/>
        </w:rPr>
        <w:t>2021年度部门预算情况说明</w:t>
      </w:r>
    </w:p>
    <w:p>
      <w:pPr>
        <w:pStyle w:val="6"/>
        <w:spacing w:before="1" w:line="550" w:lineRule="exact"/>
        <w:ind w:firstLine="643" w:firstLineChars="200"/>
        <w:rPr>
          <w:b/>
          <w:bCs/>
          <w:lang w:eastAsia="zh-CN"/>
        </w:rPr>
      </w:pPr>
    </w:p>
    <w:p>
      <w:pPr>
        <w:pStyle w:val="6"/>
        <w:spacing w:before="1" w:line="550" w:lineRule="exact"/>
        <w:ind w:firstLine="643" w:firstLineChars="200"/>
        <w:rPr>
          <w:b/>
          <w:bCs/>
          <w:lang w:eastAsia="zh-CN"/>
        </w:rPr>
      </w:pPr>
      <w:r>
        <w:rPr>
          <w:b/>
          <w:bCs/>
          <w:lang w:eastAsia="zh-CN"/>
        </w:rPr>
        <w:t>一、收支预算总体情况说明</w:t>
      </w:r>
    </w:p>
    <w:p>
      <w:pPr>
        <w:pStyle w:val="6"/>
        <w:spacing w:before="1" w:line="550" w:lineRule="exact"/>
        <w:ind w:firstLine="640" w:firstLineChars="200"/>
        <w:rPr>
          <w:lang w:eastAsia="zh-CN"/>
        </w:rPr>
      </w:pPr>
      <w:r>
        <w:rPr>
          <w:lang w:eastAsia="zh-CN"/>
        </w:rPr>
        <w:t xml:space="preserve">南京市雨花台区人民检察院2021年度收入、支出预算总计3346.74万元，与上年相比收、支预算总计各增加556.23万元，增长19.93%。其中： </w:t>
      </w:r>
    </w:p>
    <w:p>
      <w:pPr>
        <w:pStyle w:val="6"/>
        <w:spacing w:before="1" w:line="550" w:lineRule="exact"/>
        <w:ind w:firstLine="640" w:firstLineChars="200"/>
        <w:rPr>
          <w:lang w:eastAsia="zh-CN"/>
        </w:rPr>
      </w:pPr>
      <w:r>
        <w:rPr>
          <w:lang w:eastAsia="zh-CN"/>
        </w:rPr>
        <w:t>（一）收入预算总计3346.74万元。包括：</w:t>
      </w:r>
    </w:p>
    <w:p>
      <w:pPr>
        <w:pStyle w:val="6"/>
        <w:spacing w:before="1" w:line="550" w:lineRule="exact"/>
        <w:ind w:firstLine="640" w:firstLineChars="200"/>
        <w:rPr>
          <w:lang w:eastAsia="zh-CN"/>
        </w:rPr>
      </w:pPr>
      <w:r>
        <w:rPr>
          <w:lang w:eastAsia="zh-CN"/>
        </w:rPr>
        <w:t>1．本年收入合计3346.74万元。</w:t>
      </w:r>
    </w:p>
    <w:p>
      <w:pPr>
        <w:pStyle w:val="6"/>
        <w:spacing w:before="1" w:line="550" w:lineRule="exact"/>
        <w:ind w:firstLine="640" w:firstLineChars="200"/>
        <w:rPr>
          <w:color w:val="000000" w:themeColor="text1"/>
          <w:lang w:eastAsia="zh-CN"/>
        </w:rPr>
      </w:pPr>
      <w:r>
        <w:rPr>
          <w:lang w:eastAsia="zh-CN"/>
        </w:rPr>
        <w:t>（1）一般公共预算拨款收入3346.74万元，与上年相比增加556.23万元，增长19.93%。</w:t>
      </w:r>
      <w:r>
        <w:rPr>
          <w:color w:val="000000" w:themeColor="text1"/>
          <w:lang w:eastAsia="zh-CN"/>
        </w:rPr>
        <w:t>主要原因</w:t>
      </w:r>
      <w:r>
        <w:rPr>
          <w:rFonts w:hint="eastAsia"/>
          <w:color w:val="000000" w:themeColor="text1"/>
          <w:lang w:eastAsia="zh-CN"/>
        </w:rPr>
        <w:t>一是2021年预算中包括员额检察官绩效奖，二是2021年预算中增加信息化建设项目经费。</w:t>
      </w:r>
    </w:p>
    <w:p>
      <w:pPr>
        <w:pStyle w:val="6"/>
        <w:spacing w:before="1" w:line="550" w:lineRule="exact"/>
        <w:ind w:firstLine="640" w:firstLineChars="200"/>
        <w:rPr>
          <w:lang w:eastAsia="zh-CN"/>
        </w:rPr>
      </w:pPr>
      <w:r>
        <w:rPr>
          <w:lang w:eastAsia="zh-CN"/>
        </w:rPr>
        <w:t>（2）政府性基金预算拨款收入0.00万元，与上年相比增加0.00万元，主要原因是与上年预算数相同，当前预算年度无此项预算安排。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（3）国有资本经营预算拨款收入0.00万元，与上年相比增加0.00万元，主要原因是与上年预算数相同，当前预算年度无此项预算安排。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（4）财政专户管理资金收入0.00万元，与上年相比增加0.00万元，主要原因是与上年预算数相同，当前预算年度无此项预算安排。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（5）事业收入0.00万元，与上年相比增加0.00万元，主要原因是与上年预算数相同，当前预算年度无此项预算安排。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（6）事业单位经营收入0.00万元，与上年相比增加0.00万元，主要原因是与上年预算数相同，当前预算年度无此项预算安排。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（7）上级补助收入0.00万元，与上年相比增加0.00万元，主要原因是与上年预算数相同，当前预算年度无此项预算安排。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（8）附属单位上缴收入0.00万元，与上年相比增加0.00万元，主要原因是与上年预算数相同，当前预算年度无此项预算安排。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（9）其他收入0.00万元，与上年相比增加0.00万元，主要原因是与上年预算数相同，当前预算年度无此项预算安排。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2．上年结转结余为0.00万元，与上年相比增加0.00万元，主要原因是与上年预算数相同，当前预算年度无此项预算安排。</w:t>
      </w:r>
    </w:p>
    <w:p>
      <w:pPr>
        <w:pStyle w:val="6"/>
        <w:spacing w:before="1" w:line="550" w:lineRule="exact"/>
        <w:ind w:firstLine="640" w:firstLineChars="200"/>
        <w:rPr>
          <w:lang w:eastAsia="zh-CN"/>
        </w:rPr>
      </w:pPr>
      <w:r>
        <w:rPr>
          <w:lang w:eastAsia="zh-CN"/>
        </w:rPr>
        <w:t>（二）支出预算总计3346.74万元。包括：</w:t>
      </w:r>
      <w:r>
        <w:rPr>
          <w:lang w:eastAsia="zh-CN"/>
        </w:rPr>
        <w:br w:type="textWrapping"/>
      </w:r>
      <w:r>
        <w:rPr>
          <w:lang w:eastAsia="zh-CN"/>
        </w:rPr>
        <w:t xml:space="preserve">     1．本年支出合计3346.74万元。</w:t>
      </w:r>
      <w:r>
        <w:rPr>
          <w:lang w:eastAsia="zh-CN"/>
        </w:rPr>
        <w:br w:type="textWrapping"/>
      </w:r>
      <w:r>
        <w:rPr>
          <w:lang w:eastAsia="zh-CN"/>
        </w:rPr>
        <w:t xml:space="preserve">    （1）公共安全支出（类）支出2672.27万元</w:t>
      </w:r>
      <w:r>
        <w:rPr>
          <w:color w:val="000000" w:themeColor="text1"/>
          <w:lang w:eastAsia="zh-CN"/>
        </w:rPr>
        <w:t>，主要用于</w:t>
      </w:r>
      <w:r>
        <w:rPr>
          <w:rFonts w:hint="eastAsia"/>
          <w:color w:val="000000" w:themeColor="text1"/>
          <w:lang w:eastAsia="zh-CN"/>
        </w:rPr>
        <w:t>人</w:t>
      </w:r>
      <w:r>
        <w:rPr>
          <w:color w:val="000000" w:themeColor="text1"/>
          <w:lang w:eastAsia="zh-CN"/>
        </w:rPr>
        <w:t>员</w:t>
      </w:r>
      <w:r>
        <w:rPr>
          <w:rFonts w:hint="eastAsia"/>
          <w:color w:val="000000" w:themeColor="text1"/>
          <w:lang w:eastAsia="zh-CN"/>
        </w:rPr>
        <w:t>工资补贴</w:t>
      </w:r>
      <w:r>
        <w:rPr>
          <w:color w:val="000000" w:themeColor="text1"/>
          <w:lang w:eastAsia="zh-CN"/>
        </w:rPr>
        <w:t>、日常公用经费和项目</w:t>
      </w:r>
      <w:r>
        <w:rPr>
          <w:rFonts w:hint="eastAsia"/>
          <w:color w:val="000000" w:themeColor="text1"/>
          <w:lang w:eastAsia="zh-CN"/>
        </w:rPr>
        <w:t>经费支出</w:t>
      </w:r>
      <w:r>
        <w:rPr>
          <w:color w:val="000000" w:themeColor="text1"/>
          <w:lang w:eastAsia="zh-CN"/>
        </w:rPr>
        <w:t>。与上年相比增加634.39万元，增长31.13%。主要原因</w:t>
      </w:r>
      <w:r>
        <w:rPr>
          <w:rFonts w:hint="eastAsia"/>
          <w:color w:val="000000" w:themeColor="text1"/>
          <w:lang w:eastAsia="zh-CN"/>
        </w:rPr>
        <w:t>一是2021年预算中包括员额检察官绩效奖，二是2021年预算中增加信息化建设项目经费。</w:t>
      </w:r>
      <w:r>
        <w:rPr>
          <w:color w:val="000000" w:themeColor="text1"/>
          <w:lang w:eastAsia="zh-CN"/>
        </w:rPr>
        <w:br w:type="textWrapping"/>
      </w:r>
      <w:r>
        <w:rPr>
          <w:lang w:eastAsia="zh-CN"/>
        </w:rPr>
        <w:t xml:space="preserve">    （2）</w:t>
      </w:r>
      <w:r>
        <w:rPr>
          <w:color w:val="000000" w:themeColor="text1"/>
          <w:lang w:eastAsia="zh-CN"/>
        </w:rPr>
        <w:t>社会保障和就业支出（类）支出186.21万元，主要用于支付退休人员提租补贴。与上年相比增加19.43万元，增长11.65%。主要原因是政策性调整退休人员提租补贴。</w:t>
      </w:r>
      <w:r>
        <w:rPr>
          <w:color w:val="000000" w:themeColor="text1"/>
          <w:lang w:eastAsia="zh-CN"/>
        </w:rPr>
        <w:br w:type="textWrapping"/>
      </w:r>
      <w:r>
        <w:rPr>
          <w:lang w:eastAsia="zh-CN"/>
        </w:rPr>
        <w:t xml:space="preserve">    </w:t>
      </w:r>
      <w:r>
        <w:rPr>
          <w:color w:val="000000" w:themeColor="text1"/>
          <w:lang w:eastAsia="zh-CN"/>
        </w:rPr>
        <w:t>（3）住房保障支出（类）支出488.26万元，主要用于</w:t>
      </w:r>
      <w:r>
        <w:rPr>
          <w:rFonts w:hint="eastAsia"/>
          <w:color w:val="000000" w:themeColor="text1"/>
          <w:lang w:eastAsia="zh-CN"/>
        </w:rPr>
        <w:t>支付</w:t>
      </w:r>
      <w:r>
        <w:rPr>
          <w:color w:val="000000" w:themeColor="text1"/>
          <w:lang w:eastAsia="zh-CN"/>
        </w:rPr>
        <w:t>在职人员住房公积金、提租补贴</w:t>
      </w:r>
      <w:r>
        <w:rPr>
          <w:rFonts w:hint="eastAsia"/>
          <w:color w:val="000000" w:themeColor="text1"/>
          <w:lang w:eastAsia="zh-CN"/>
        </w:rPr>
        <w:t xml:space="preserve"> 、购房补贴</w:t>
      </w:r>
      <w:r>
        <w:rPr>
          <w:color w:val="000000" w:themeColor="text1"/>
          <w:lang w:eastAsia="zh-CN"/>
        </w:rPr>
        <w:t>。与上年相比减少97.59万元，减少16.66%。主要原因是因检察体制改革和人员调动、退休等原因，</w:t>
      </w:r>
      <w:r>
        <w:rPr>
          <w:rFonts w:hint="eastAsia"/>
          <w:color w:val="000000" w:themeColor="text1"/>
          <w:lang w:eastAsia="zh-CN"/>
        </w:rPr>
        <w:t>2021年在职人员减少10人</w:t>
      </w:r>
      <w:r>
        <w:rPr>
          <w:color w:val="000000" w:themeColor="text1"/>
          <w:lang w:eastAsia="zh-CN"/>
        </w:rPr>
        <w:t>。</w:t>
      </w:r>
      <w:r>
        <w:rPr>
          <w:color w:val="000000" w:themeColor="text1"/>
          <w:lang w:eastAsia="zh-CN"/>
        </w:rPr>
        <w:br w:type="textWrapping"/>
      </w:r>
      <w:r>
        <w:rPr>
          <w:lang w:eastAsia="zh-CN"/>
        </w:rPr>
        <w:t xml:space="preserve">    2．年终结转结余为0.00万元，主要原因是与上年预算数相同，当前预算年度无此项预算安排。</w:t>
      </w:r>
    </w:p>
    <w:p>
      <w:pPr>
        <w:pStyle w:val="6"/>
        <w:spacing w:before="1" w:line="550" w:lineRule="exact"/>
        <w:ind w:firstLine="643" w:firstLineChars="200"/>
        <w:rPr>
          <w:b/>
          <w:bCs/>
          <w:lang w:eastAsia="zh-CN"/>
        </w:rPr>
      </w:pPr>
      <w:r>
        <w:rPr>
          <w:b/>
          <w:bCs/>
          <w:lang w:eastAsia="zh-CN"/>
        </w:rPr>
        <w:t>二、收入预算情况说明</w:t>
      </w:r>
    </w:p>
    <w:p>
      <w:pPr>
        <w:pStyle w:val="6"/>
        <w:spacing w:before="1" w:line="550" w:lineRule="exact"/>
        <w:ind w:firstLine="640" w:firstLineChars="200"/>
        <w:rPr>
          <w:lang w:eastAsia="zh-CN"/>
        </w:rPr>
      </w:pPr>
      <w:r>
        <w:rPr>
          <w:lang w:eastAsia="zh-CN"/>
        </w:rPr>
        <w:t>南京市雨花台区人民检察院2021年收入预算合计3346.74万元，包括本年收入3346.74万元，上年结转结余0.00万元。其中：</w:t>
      </w:r>
    </w:p>
    <w:p>
      <w:pPr>
        <w:pStyle w:val="6"/>
        <w:spacing w:before="1" w:line="550" w:lineRule="exact"/>
        <w:ind w:firstLine="640" w:firstLineChars="200"/>
        <w:rPr>
          <w:lang w:eastAsia="zh-CN"/>
        </w:rPr>
      </w:pPr>
      <w:r>
        <w:rPr>
          <w:lang w:eastAsia="zh-CN"/>
        </w:rPr>
        <w:t>本年一般公共预算收入3346.74万元，占100.00%；；</w:t>
      </w:r>
    </w:p>
    <w:p>
      <w:pPr>
        <w:pStyle w:val="6"/>
        <w:spacing w:before="1" w:line="550" w:lineRule="exact"/>
        <w:ind w:firstLine="640" w:firstLineChars="200"/>
        <w:rPr>
          <w:lang w:eastAsia="zh-CN"/>
        </w:rPr>
      </w:pPr>
      <w:r>
        <w:rPr>
          <w:lang w:eastAsia="zh-CN"/>
        </w:rPr>
        <w:t>本年政府性基金预算收入0.00万元，占0.00%；</w:t>
      </w:r>
    </w:p>
    <w:p>
      <w:pPr>
        <w:pStyle w:val="6"/>
        <w:spacing w:before="1" w:line="550" w:lineRule="exact"/>
        <w:ind w:firstLine="640" w:firstLineChars="200"/>
        <w:rPr>
          <w:lang w:eastAsia="zh-CN"/>
        </w:rPr>
      </w:pPr>
      <w:r>
        <w:rPr>
          <w:lang w:eastAsia="zh-CN"/>
        </w:rPr>
        <w:t>本年国有资本经营预算收入0.00万元，占0.00%；</w:t>
      </w:r>
    </w:p>
    <w:p>
      <w:pPr>
        <w:pStyle w:val="6"/>
        <w:spacing w:before="1" w:line="550" w:lineRule="exact"/>
        <w:ind w:firstLine="640" w:firstLineChars="200"/>
        <w:rPr>
          <w:lang w:eastAsia="zh-CN"/>
        </w:rPr>
      </w:pPr>
      <w:r>
        <w:rPr>
          <w:lang w:eastAsia="zh-CN"/>
        </w:rPr>
        <w:t>本年财政专户管理资金0.00万元，占0.00%；</w:t>
      </w:r>
    </w:p>
    <w:p>
      <w:pPr>
        <w:pStyle w:val="6"/>
        <w:spacing w:before="1" w:line="550" w:lineRule="exact"/>
        <w:ind w:firstLine="640" w:firstLineChars="200"/>
        <w:rPr>
          <w:lang w:eastAsia="zh-CN"/>
        </w:rPr>
      </w:pPr>
      <w:r>
        <w:rPr>
          <w:lang w:eastAsia="zh-CN"/>
        </w:rPr>
        <w:t>本年事业收入0.00万元，占0.00%；</w:t>
      </w:r>
    </w:p>
    <w:p>
      <w:pPr>
        <w:pStyle w:val="6"/>
        <w:spacing w:before="1" w:line="550" w:lineRule="exact"/>
        <w:ind w:firstLine="640" w:firstLineChars="200"/>
        <w:rPr>
          <w:lang w:eastAsia="zh-CN"/>
        </w:rPr>
      </w:pPr>
      <w:r>
        <w:rPr>
          <w:lang w:eastAsia="zh-CN"/>
        </w:rPr>
        <w:t>本年事业单位经营收入0.00万元，占0.00%；</w:t>
      </w:r>
    </w:p>
    <w:p>
      <w:pPr>
        <w:pStyle w:val="6"/>
        <w:spacing w:before="1" w:line="550" w:lineRule="exact"/>
        <w:ind w:firstLine="640" w:firstLineChars="200"/>
        <w:rPr>
          <w:lang w:eastAsia="zh-CN"/>
        </w:rPr>
      </w:pPr>
      <w:r>
        <w:rPr>
          <w:lang w:eastAsia="zh-CN"/>
        </w:rPr>
        <w:t>本年上级补助收入0.00万元，占0.00%；</w:t>
      </w:r>
    </w:p>
    <w:p>
      <w:pPr>
        <w:pStyle w:val="6"/>
        <w:spacing w:before="1" w:line="550" w:lineRule="exact"/>
        <w:ind w:firstLine="640" w:firstLineChars="200"/>
        <w:rPr>
          <w:lang w:eastAsia="zh-CN"/>
        </w:rPr>
      </w:pPr>
      <w:r>
        <w:rPr>
          <w:lang w:eastAsia="zh-CN"/>
        </w:rPr>
        <w:t>本年附属单位上缴收入0.00万元，占0.00%；</w:t>
      </w:r>
    </w:p>
    <w:p>
      <w:pPr>
        <w:pStyle w:val="6"/>
        <w:spacing w:before="1" w:line="550" w:lineRule="exact"/>
        <w:ind w:firstLine="640" w:firstLineChars="200"/>
        <w:rPr>
          <w:lang w:eastAsia="zh-CN"/>
        </w:rPr>
      </w:pPr>
      <w:r>
        <w:rPr>
          <w:lang w:eastAsia="zh-CN"/>
        </w:rPr>
        <w:t>本年其他收入0.00万元，占0.00%；</w:t>
      </w:r>
    </w:p>
    <w:p>
      <w:pPr>
        <w:pStyle w:val="6"/>
        <w:spacing w:before="1" w:line="550" w:lineRule="exact"/>
        <w:ind w:firstLine="640" w:firstLineChars="200"/>
        <w:rPr>
          <w:lang w:eastAsia="zh-CN"/>
        </w:rPr>
      </w:pPr>
      <w:r>
        <w:rPr>
          <w:lang w:eastAsia="zh-CN"/>
        </w:rPr>
        <w:t>上年结转结余的一般公共预算收入0.00万元，占0.00%；</w:t>
      </w:r>
    </w:p>
    <w:p>
      <w:pPr>
        <w:pStyle w:val="6"/>
        <w:spacing w:before="1" w:line="550" w:lineRule="exact"/>
        <w:ind w:firstLine="640" w:firstLineChars="200"/>
        <w:rPr>
          <w:lang w:eastAsia="zh-CN"/>
        </w:rPr>
      </w:pPr>
      <w:r>
        <w:rPr>
          <w:lang w:eastAsia="zh-CN"/>
        </w:rPr>
        <w:t>上年结转结余的政府性基金预算收入0.00万元，占0.00%；</w:t>
      </w:r>
    </w:p>
    <w:p>
      <w:pPr>
        <w:pStyle w:val="6"/>
        <w:spacing w:before="1" w:line="550" w:lineRule="exact"/>
        <w:ind w:firstLine="640" w:firstLineChars="200"/>
        <w:rPr>
          <w:lang w:eastAsia="zh-CN"/>
        </w:rPr>
      </w:pPr>
      <w:r>
        <w:rPr>
          <w:lang w:eastAsia="zh-CN"/>
        </w:rPr>
        <w:t>上年结转结余的国有资本经营预算收入0.00万元，占0.00%；</w:t>
      </w:r>
    </w:p>
    <w:p>
      <w:pPr>
        <w:pStyle w:val="6"/>
        <w:spacing w:before="1" w:line="550" w:lineRule="exact"/>
        <w:ind w:firstLine="640" w:firstLineChars="200"/>
        <w:rPr>
          <w:lang w:eastAsia="zh-CN"/>
        </w:rPr>
      </w:pPr>
      <w:r>
        <w:rPr>
          <w:lang w:eastAsia="zh-CN"/>
        </w:rPr>
        <w:t>上年结转结余的财政专户管理资金0.00万元，占0.00%；</w:t>
      </w:r>
    </w:p>
    <w:p>
      <w:pPr>
        <w:pStyle w:val="6"/>
        <w:spacing w:before="1" w:line="550" w:lineRule="exact"/>
        <w:ind w:firstLine="640" w:firstLineChars="200"/>
        <w:rPr>
          <w:lang w:eastAsia="zh-CN"/>
        </w:rPr>
      </w:pPr>
      <w:r>
        <w:rPr>
          <w:lang w:eastAsia="zh-CN"/>
        </w:rPr>
        <w:t>上年结转结余的单位资金0.00万元，占0.00%；</w:t>
      </w:r>
    </w:p>
    <w:p>
      <w:pPr>
        <w:pStyle w:val="6"/>
        <w:spacing w:before="1" w:line="550" w:lineRule="exact"/>
        <w:ind w:firstLine="643" w:firstLineChars="200"/>
        <w:rPr>
          <w:b/>
          <w:bCs/>
          <w:lang w:eastAsia="zh-CN"/>
        </w:rPr>
      </w:pPr>
      <w:r>
        <w:rPr>
          <w:b/>
          <w:bCs/>
          <w:lang w:eastAsia="zh-CN"/>
        </w:rPr>
        <w:t>三、支出预算情况说明</w:t>
      </w:r>
    </w:p>
    <w:p>
      <w:pPr>
        <w:pStyle w:val="6"/>
        <w:spacing w:before="1" w:line="550" w:lineRule="exact"/>
        <w:ind w:firstLine="640" w:firstLineChars="200"/>
        <w:rPr>
          <w:lang w:eastAsia="zh-CN"/>
        </w:rPr>
      </w:pPr>
      <w:r>
        <w:rPr>
          <w:lang w:eastAsia="zh-CN"/>
        </w:rPr>
        <w:t>南京市雨花台区人民检察院2021年支出预算合计3346.74万元，其中：</w:t>
      </w:r>
    </w:p>
    <w:p>
      <w:pPr>
        <w:pStyle w:val="6"/>
        <w:spacing w:before="1" w:line="550" w:lineRule="exact"/>
        <w:ind w:firstLine="640" w:firstLineChars="200"/>
        <w:rPr>
          <w:lang w:eastAsia="zh-CN"/>
        </w:rPr>
      </w:pPr>
      <w:r>
        <w:rPr>
          <w:lang w:eastAsia="zh-CN"/>
        </w:rPr>
        <w:t>基本支出2369.74万元，占70.81%；</w:t>
      </w:r>
    </w:p>
    <w:p>
      <w:pPr>
        <w:pStyle w:val="6"/>
        <w:spacing w:before="1" w:line="550" w:lineRule="exact"/>
        <w:ind w:firstLine="640" w:firstLineChars="200"/>
        <w:rPr>
          <w:lang w:eastAsia="zh-CN"/>
        </w:rPr>
      </w:pPr>
      <w:r>
        <w:rPr>
          <w:lang w:eastAsia="zh-CN"/>
        </w:rPr>
        <w:t>项目支出977.00万元，占29.19%；</w:t>
      </w:r>
    </w:p>
    <w:p>
      <w:pPr>
        <w:pStyle w:val="6"/>
        <w:spacing w:before="1" w:line="550" w:lineRule="exact"/>
        <w:ind w:firstLine="640" w:firstLineChars="200"/>
        <w:rPr>
          <w:lang w:eastAsia="zh-CN"/>
        </w:rPr>
      </w:pPr>
      <w:r>
        <w:rPr>
          <w:lang w:eastAsia="zh-CN"/>
        </w:rPr>
        <w:t>事业单位经营支出0.00万元，占0.00%；</w:t>
      </w:r>
    </w:p>
    <w:p>
      <w:pPr>
        <w:pStyle w:val="6"/>
        <w:spacing w:before="1" w:line="550" w:lineRule="exact"/>
        <w:ind w:firstLine="640" w:firstLineChars="200"/>
        <w:rPr>
          <w:lang w:eastAsia="zh-CN"/>
        </w:rPr>
      </w:pPr>
      <w:r>
        <w:rPr>
          <w:lang w:eastAsia="zh-CN"/>
        </w:rPr>
        <w:t>上缴上级支出0.00万元，占0.00%；</w:t>
      </w:r>
    </w:p>
    <w:p>
      <w:pPr>
        <w:pStyle w:val="6"/>
        <w:spacing w:before="1" w:line="550" w:lineRule="exact"/>
        <w:ind w:firstLine="640" w:firstLineChars="200"/>
        <w:rPr>
          <w:lang w:eastAsia="zh-CN"/>
        </w:rPr>
      </w:pPr>
      <w:r>
        <w:rPr>
          <w:lang w:eastAsia="zh-CN"/>
        </w:rPr>
        <w:t>对附属单位补助支出0.00万元，占0.00%。</w:t>
      </w:r>
    </w:p>
    <w:p>
      <w:pPr>
        <w:pStyle w:val="6"/>
        <w:spacing w:before="106" w:line="550" w:lineRule="exact"/>
        <w:ind w:firstLine="611" w:firstLineChars="200"/>
        <w:rPr>
          <w:b/>
          <w:bCs/>
          <w:w w:val="95"/>
          <w:lang w:eastAsia="zh-CN"/>
        </w:rPr>
      </w:pPr>
      <w:r>
        <w:rPr>
          <w:b/>
          <w:bCs/>
          <w:w w:val="95"/>
          <w:lang w:eastAsia="zh-CN"/>
        </w:rPr>
        <w:t>四、财政拨款收支预算总体情况说明</w:t>
      </w:r>
    </w:p>
    <w:p>
      <w:pPr>
        <w:pStyle w:val="6"/>
        <w:tabs>
          <w:tab w:val="left" w:pos="5298"/>
          <w:tab w:val="left" w:pos="6066"/>
          <w:tab w:val="left" w:pos="8412"/>
        </w:tabs>
        <w:spacing w:before="43" w:line="550" w:lineRule="exact"/>
        <w:ind w:left="109" w:right="106" w:firstLine="480"/>
        <w:rPr>
          <w:color w:val="000000" w:themeColor="text1"/>
          <w:w w:val="95"/>
          <w:lang w:eastAsia="zh-CN"/>
        </w:rPr>
      </w:pPr>
      <w:r>
        <w:rPr>
          <w:lang w:eastAsia="zh-CN"/>
        </w:rPr>
        <w:t>南京市雨花台区人民检察院2021年度财政拨款收、支总预算3346.74万元。与上年相比，财政拨款收、支总计各增加556.23万元，增长19.93%。</w:t>
      </w:r>
      <w:r>
        <w:rPr>
          <w:color w:val="000000" w:themeColor="text1"/>
          <w:lang w:eastAsia="zh-CN"/>
        </w:rPr>
        <w:t>主要原因</w:t>
      </w:r>
      <w:r>
        <w:rPr>
          <w:rFonts w:hint="eastAsia"/>
          <w:color w:val="000000" w:themeColor="text1"/>
          <w:lang w:eastAsia="zh-CN"/>
        </w:rPr>
        <w:t>一是2021年预算中包括员额检察官绩效奖，二是2021年预算中增加信息化建设项目经费。</w:t>
      </w:r>
    </w:p>
    <w:p>
      <w:pPr>
        <w:pStyle w:val="6"/>
        <w:spacing w:before="21" w:line="550" w:lineRule="exact"/>
        <w:ind w:firstLine="611" w:firstLineChars="200"/>
        <w:rPr>
          <w:b/>
          <w:bCs/>
          <w:lang w:eastAsia="zh-CN"/>
        </w:rPr>
      </w:pPr>
      <w:r>
        <w:rPr>
          <w:b/>
          <w:bCs/>
          <w:w w:val="95"/>
          <w:lang w:eastAsia="zh-CN"/>
        </w:rPr>
        <w:t>五、财政拨款支出预算情况说明</w:t>
      </w:r>
    </w:p>
    <w:p>
      <w:pPr>
        <w:pStyle w:val="6"/>
        <w:spacing w:before="7" w:line="550" w:lineRule="exact"/>
        <w:ind w:left="109" w:right="263" w:firstLine="504"/>
        <w:jc w:val="both"/>
        <w:rPr>
          <w:color w:val="000000" w:themeColor="text1"/>
          <w:lang w:eastAsia="zh-CN"/>
        </w:rPr>
      </w:pPr>
      <w:r>
        <w:rPr>
          <w:lang w:eastAsia="zh-CN"/>
        </w:rPr>
        <w:t>南京市雨花台区人民检察院2021年财政拨款预算支出3346.74万元，占本年支出合计的100.00%。与上年相比，财政拨款支出增加556.23万元，增长19.93%。</w:t>
      </w:r>
      <w:r>
        <w:rPr>
          <w:color w:val="000000" w:themeColor="text1"/>
          <w:lang w:eastAsia="zh-CN"/>
        </w:rPr>
        <w:t>主要原因</w:t>
      </w:r>
      <w:r>
        <w:rPr>
          <w:rFonts w:hint="eastAsia"/>
          <w:color w:val="000000" w:themeColor="text1"/>
          <w:lang w:eastAsia="zh-CN"/>
        </w:rPr>
        <w:t>一是2021年预算中包括员额检察官绩效奖，二是2021年预算中增加信息化建设项目经费。</w:t>
      </w:r>
    </w:p>
    <w:p>
      <w:pPr>
        <w:pStyle w:val="6"/>
        <w:spacing w:before="7" w:line="550" w:lineRule="exact"/>
        <w:ind w:left="109" w:right="263" w:firstLine="504"/>
        <w:jc w:val="both"/>
        <w:rPr>
          <w:lang w:eastAsia="zh-CN"/>
        </w:rPr>
      </w:pPr>
      <w:r>
        <w:rPr>
          <w:w w:val="95"/>
          <w:lang w:eastAsia="zh-CN"/>
        </w:rPr>
        <w:t>其中：</w:t>
      </w:r>
    </w:p>
    <w:p>
      <w:pPr>
        <w:pStyle w:val="6"/>
        <w:spacing w:before="7" w:line="550" w:lineRule="exact"/>
        <w:ind w:left="109" w:right="263" w:firstLine="504"/>
        <w:jc w:val="both"/>
        <w:rPr>
          <w:color w:val="000000" w:themeColor="text1"/>
          <w:lang w:eastAsia="zh-CN"/>
        </w:rPr>
      </w:pPr>
      <w:r>
        <w:rPr>
          <w:lang w:eastAsia="zh-CN"/>
        </w:rPr>
        <w:t>（一）公共安全支出（类）</w:t>
      </w:r>
      <w:r>
        <w:rPr>
          <w:lang w:eastAsia="zh-CN"/>
        </w:rPr>
        <w:br w:type="textWrapping"/>
      </w:r>
      <w:r>
        <w:rPr>
          <w:lang w:eastAsia="zh-CN"/>
        </w:rPr>
        <w:t xml:space="preserve">    1．检察（款）行政运行（项）支出1695.27万元，与上年相比增加127.39万元，增长8.12%。</w:t>
      </w:r>
      <w:r>
        <w:rPr>
          <w:color w:val="000000" w:themeColor="text1"/>
          <w:lang w:eastAsia="zh-CN"/>
        </w:rPr>
        <w:t>主要原因</w:t>
      </w:r>
      <w:r>
        <w:rPr>
          <w:rFonts w:hint="eastAsia"/>
          <w:color w:val="000000" w:themeColor="text1"/>
          <w:lang w:eastAsia="zh-CN"/>
        </w:rPr>
        <w:t>是2021年预算中包括员额检察官绩效奖</w:t>
      </w:r>
      <w:r>
        <w:rPr>
          <w:color w:val="000000" w:themeColor="text1"/>
          <w:lang w:eastAsia="zh-CN"/>
        </w:rPr>
        <w:t>。</w:t>
      </w:r>
      <w:r>
        <w:rPr>
          <w:color w:val="000000" w:themeColor="text1"/>
          <w:lang w:eastAsia="zh-CN"/>
        </w:rPr>
        <w:br w:type="textWrapping"/>
      </w:r>
      <w:r>
        <w:rPr>
          <w:lang w:eastAsia="zh-CN"/>
        </w:rPr>
        <w:t xml:space="preserve">    2．检察（款）一般行政管理事务（项）支出540.00万元，与上年相比增加110.00万元，增长25.58%。</w:t>
      </w:r>
      <w:r>
        <w:rPr>
          <w:color w:val="000000" w:themeColor="text1"/>
          <w:lang w:eastAsia="zh-CN"/>
        </w:rPr>
        <w:t>主要原因是增加廉政保证金和干警食堂费用。</w:t>
      </w:r>
      <w:r>
        <w:rPr>
          <w:lang w:eastAsia="zh-CN"/>
        </w:rPr>
        <w:br w:type="textWrapping"/>
      </w:r>
      <w:r>
        <w:rPr>
          <w:lang w:eastAsia="zh-CN"/>
        </w:rPr>
        <w:t xml:space="preserve">    3．检察（款）其他检察支出（项）支出437.00万元，与上年相比增加397.00万元，增长992.50%。</w:t>
      </w:r>
      <w:r>
        <w:rPr>
          <w:color w:val="000000" w:themeColor="text1"/>
          <w:lang w:eastAsia="zh-CN"/>
        </w:rPr>
        <w:t>主要原因是</w:t>
      </w:r>
      <w:r>
        <w:rPr>
          <w:rFonts w:hint="eastAsia"/>
          <w:color w:val="000000" w:themeColor="text1"/>
          <w:lang w:eastAsia="zh-CN"/>
        </w:rPr>
        <w:t>2021年预算中增加信息化建设项目经费</w:t>
      </w:r>
      <w:r>
        <w:rPr>
          <w:color w:val="000000" w:themeColor="text1"/>
          <w:lang w:eastAsia="zh-CN"/>
        </w:rPr>
        <w:t>。</w:t>
      </w:r>
      <w:r>
        <w:rPr>
          <w:color w:val="000000" w:themeColor="text1"/>
          <w:lang w:eastAsia="zh-CN"/>
        </w:rPr>
        <w:br w:type="textWrapping"/>
      </w:r>
      <w:r>
        <w:rPr>
          <w:lang w:eastAsia="zh-CN"/>
        </w:rPr>
        <w:t xml:space="preserve">    （二）社会保障和就业支出（类）</w:t>
      </w:r>
      <w:r>
        <w:rPr>
          <w:lang w:eastAsia="zh-CN"/>
        </w:rPr>
        <w:br w:type="textWrapping"/>
      </w:r>
      <w:r>
        <w:rPr>
          <w:lang w:eastAsia="zh-CN"/>
        </w:rPr>
        <w:t xml:space="preserve">    1．行政事业单位养老支出（款）行政单位离退休（项）支出186.21万元，与上年相比增加19.43万元，增长11.65%。</w:t>
      </w:r>
      <w:r>
        <w:rPr>
          <w:color w:val="000000" w:themeColor="text1"/>
          <w:lang w:eastAsia="zh-CN"/>
        </w:rPr>
        <w:t>主要原因是政策性调整退休人员提租补贴。</w:t>
      </w:r>
      <w:r>
        <w:rPr>
          <w:color w:val="000000" w:themeColor="text1"/>
          <w:lang w:eastAsia="zh-CN"/>
        </w:rPr>
        <w:br w:type="textWrapping"/>
      </w:r>
      <w:r>
        <w:rPr>
          <w:lang w:eastAsia="zh-CN"/>
        </w:rPr>
        <w:t xml:space="preserve">    （三）住房保障支出（类）</w:t>
      </w:r>
      <w:r>
        <w:rPr>
          <w:lang w:eastAsia="zh-CN"/>
        </w:rPr>
        <w:br w:type="textWrapping"/>
      </w:r>
      <w:r>
        <w:rPr>
          <w:lang w:eastAsia="zh-CN"/>
        </w:rPr>
        <w:t xml:space="preserve">    1．住房改革支出（款）住房公积金（项）支出154.18万元，与上年相比减少30.82万元，减少16.66%。</w:t>
      </w:r>
      <w:r>
        <w:rPr>
          <w:color w:val="000000" w:themeColor="text1"/>
          <w:lang w:eastAsia="zh-CN"/>
        </w:rPr>
        <w:t>因检察体制改革和人员调动、退休等原因，</w:t>
      </w:r>
      <w:r>
        <w:rPr>
          <w:rFonts w:hint="eastAsia"/>
          <w:color w:val="000000" w:themeColor="text1"/>
          <w:lang w:eastAsia="zh-CN"/>
        </w:rPr>
        <w:t>2021年在职人员减少10人</w:t>
      </w:r>
      <w:r>
        <w:rPr>
          <w:color w:val="000000" w:themeColor="text1"/>
          <w:lang w:eastAsia="zh-CN"/>
        </w:rPr>
        <w:t>。</w:t>
      </w:r>
    </w:p>
    <w:p>
      <w:pPr>
        <w:pStyle w:val="6"/>
        <w:spacing w:before="7" w:line="550" w:lineRule="exact"/>
        <w:ind w:left="109" w:right="263" w:firstLine="640" w:firstLineChars="200"/>
        <w:jc w:val="both"/>
        <w:rPr>
          <w:color w:val="000000" w:themeColor="text1"/>
          <w:lang w:eastAsia="zh-CN"/>
        </w:rPr>
      </w:pPr>
      <w:r>
        <w:rPr>
          <w:lang w:eastAsia="zh-CN"/>
        </w:rPr>
        <w:t>2．住房改革支出（款）提租补贴（项）支出165.54万元，与上年相比减少23.68万元，减少12.51%。</w:t>
      </w:r>
      <w:r>
        <w:rPr>
          <w:color w:val="000000" w:themeColor="text1"/>
          <w:lang w:eastAsia="zh-CN"/>
        </w:rPr>
        <w:t>因检察体制改革和人员调动、退休等原因，</w:t>
      </w:r>
      <w:r>
        <w:rPr>
          <w:rFonts w:hint="eastAsia"/>
          <w:color w:val="000000" w:themeColor="text1"/>
          <w:lang w:eastAsia="zh-CN"/>
        </w:rPr>
        <w:t>2021年在职人员减少10人</w:t>
      </w:r>
      <w:r>
        <w:rPr>
          <w:color w:val="000000" w:themeColor="text1"/>
          <w:lang w:eastAsia="zh-CN"/>
        </w:rPr>
        <w:t>。</w:t>
      </w:r>
    </w:p>
    <w:p>
      <w:pPr>
        <w:pStyle w:val="6"/>
        <w:spacing w:before="7" w:line="550" w:lineRule="exact"/>
        <w:ind w:left="109" w:right="263" w:firstLine="640" w:firstLineChars="200"/>
        <w:jc w:val="both"/>
        <w:rPr>
          <w:lang w:eastAsia="zh-CN"/>
        </w:rPr>
      </w:pPr>
      <w:r>
        <w:rPr>
          <w:lang w:eastAsia="zh-CN"/>
        </w:rPr>
        <w:t>3．住房改革支出（款）购房补贴（项）支出168.53万元，与上年相比减少43.10万元，减少20.36%。</w:t>
      </w:r>
      <w:r>
        <w:rPr>
          <w:color w:val="000000" w:themeColor="text1"/>
          <w:lang w:eastAsia="zh-CN"/>
        </w:rPr>
        <w:t>因检察体制改革和人员调动、退休等原因，</w:t>
      </w:r>
      <w:r>
        <w:rPr>
          <w:rFonts w:hint="eastAsia"/>
          <w:color w:val="000000" w:themeColor="text1"/>
          <w:lang w:eastAsia="zh-CN"/>
        </w:rPr>
        <w:t>2021年在职人员减少10人</w:t>
      </w:r>
      <w:r>
        <w:rPr>
          <w:color w:val="000000" w:themeColor="text1"/>
          <w:lang w:eastAsia="zh-CN"/>
        </w:rPr>
        <w:t>。</w:t>
      </w:r>
    </w:p>
    <w:p>
      <w:pPr>
        <w:pStyle w:val="6"/>
        <w:spacing w:before="60" w:line="550" w:lineRule="exact"/>
        <w:ind w:firstLine="611" w:firstLineChars="200"/>
        <w:rPr>
          <w:b/>
          <w:bCs/>
          <w:lang w:eastAsia="zh-CN"/>
        </w:rPr>
      </w:pPr>
      <w:r>
        <w:rPr>
          <w:b/>
          <w:bCs/>
          <w:w w:val="95"/>
          <w:lang w:eastAsia="zh-CN"/>
        </w:rPr>
        <w:t>六、财政拨款基本支出预算情况说明</w:t>
      </w:r>
    </w:p>
    <w:p>
      <w:pPr>
        <w:pStyle w:val="6"/>
        <w:spacing w:before="60" w:line="550" w:lineRule="exact"/>
        <w:ind w:firstLine="640" w:firstLineChars="200"/>
        <w:rPr>
          <w:lang w:eastAsia="zh-CN"/>
        </w:rPr>
      </w:pPr>
      <w:r>
        <w:rPr>
          <w:lang w:eastAsia="zh-CN"/>
        </w:rPr>
        <w:t>南京市雨花台区人民检察院2021年度财政拨款基本支出预算2369.74万元，其中：</w:t>
      </w:r>
      <w:r>
        <w:rPr>
          <w:lang w:eastAsia="zh-CN"/>
        </w:rPr>
        <w:br w:type="textWrapping"/>
      </w:r>
      <w:r>
        <w:rPr>
          <w:lang w:eastAsia="zh-CN"/>
        </w:rPr>
        <w:t xml:space="preserve">    （一）人员经费2134.35万元。主要包括：基本工资、津贴补贴、奖金、其他社会保障缴费、住房公积金、其他工资福利支出、退休费、生活补助、奖励金。</w:t>
      </w:r>
      <w:r>
        <w:rPr>
          <w:lang w:eastAsia="zh-CN"/>
        </w:rPr>
        <w:br w:type="textWrapping"/>
      </w:r>
      <w:r>
        <w:rPr>
          <w:lang w:eastAsia="zh-CN"/>
        </w:rPr>
        <w:t xml:space="preserve">    （二）公用经费235.39万元。主要包括：办公费、印刷费、水费、电费、邮电费、差旅费、维修（护）费、会议费、培训费、公务接待费、工会经费、福利费、公务用车运行维护费、其他交通费用、其他商品和服务支出。</w:t>
      </w:r>
    </w:p>
    <w:p>
      <w:pPr>
        <w:pStyle w:val="6"/>
        <w:spacing w:before="60" w:line="550" w:lineRule="exact"/>
        <w:ind w:firstLine="611" w:firstLineChars="200"/>
        <w:rPr>
          <w:b/>
          <w:bCs/>
          <w:lang w:eastAsia="zh-CN"/>
        </w:rPr>
      </w:pPr>
      <w:r>
        <w:rPr>
          <w:b/>
          <w:bCs/>
          <w:w w:val="95"/>
          <w:lang w:eastAsia="zh-CN"/>
        </w:rPr>
        <w:t>七、一般公共预算支出预算情况说明</w:t>
      </w:r>
    </w:p>
    <w:p>
      <w:pPr>
        <w:pStyle w:val="6"/>
        <w:spacing w:before="7" w:line="550" w:lineRule="exact"/>
        <w:ind w:left="109" w:right="263" w:firstLine="640" w:firstLineChars="200"/>
        <w:jc w:val="both"/>
        <w:rPr>
          <w:color w:val="000000" w:themeColor="text1"/>
          <w:lang w:eastAsia="zh-CN"/>
        </w:rPr>
      </w:pPr>
      <w:r>
        <w:rPr>
          <w:lang w:eastAsia="zh-CN"/>
        </w:rPr>
        <w:t>南京市雨花台区人民检察院2021年一般公共预算财政拨款支出预算3346.74万元，与上年相比增加556.23万元，增长19.93%。</w:t>
      </w:r>
      <w:r>
        <w:rPr>
          <w:color w:val="000000" w:themeColor="text1"/>
          <w:lang w:eastAsia="zh-CN"/>
        </w:rPr>
        <w:t>主要原因</w:t>
      </w:r>
      <w:r>
        <w:rPr>
          <w:rFonts w:hint="eastAsia"/>
          <w:color w:val="000000" w:themeColor="text1"/>
          <w:lang w:eastAsia="zh-CN"/>
        </w:rPr>
        <w:t>一是2021年预算中包括员额检察官绩效奖，二是2021年预算中增加信息化建设项目经费。</w:t>
      </w:r>
    </w:p>
    <w:p>
      <w:pPr>
        <w:pStyle w:val="6"/>
        <w:spacing w:before="7" w:line="550" w:lineRule="exact"/>
        <w:ind w:left="109" w:right="263" w:firstLine="611" w:firstLineChars="200"/>
        <w:jc w:val="both"/>
        <w:rPr>
          <w:lang w:eastAsia="zh-CN"/>
        </w:rPr>
      </w:pPr>
      <w:r>
        <w:rPr>
          <w:b/>
          <w:bCs/>
          <w:w w:val="95"/>
          <w:lang w:eastAsia="zh-CN"/>
        </w:rPr>
        <w:t>八、一般公共预算基本支出预算情况说明</w:t>
      </w:r>
    </w:p>
    <w:p>
      <w:pPr>
        <w:pStyle w:val="6"/>
        <w:spacing w:before="60" w:line="550" w:lineRule="exact"/>
        <w:ind w:firstLine="640" w:firstLineChars="200"/>
        <w:rPr>
          <w:lang w:eastAsia="zh-CN"/>
        </w:rPr>
      </w:pPr>
      <w:r>
        <w:rPr>
          <w:lang w:eastAsia="zh-CN"/>
        </w:rPr>
        <w:t>南京市雨花台区人民检察院2021年度一般公共预算财政拨款基本支出预算2369.74万元，其中：</w:t>
      </w:r>
      <w:r>
        <w:rPr>
          <w:lang w:eastAsia="zh-CN"/>
        </w:rPr>
        <w:br w:type="textWrapping"/>
      </w:r>
      <w:r>
        <w:rPr>
          <w:lang w:eastAsia="zh-CN"/>
        </w:rPr>
        <w:t xml:space="preserve">    （一）人员经费2134.35万元。主要包括：基本工资、津贴补贴、奖金、其他社会保障缴费、住房公积金、其他工资福利支出、退休费、生活补助、奖励金。</w:t>
      </w:r>
      <w:r>
        <w:rPr>
          <w:lang w:eastAsia="zh-CN"/>
        </w:rPr>
        <w:br w:type="textWrapping"/>
      </w:r>
      <w:r>
        <w:rPr>
          <w:lang w:eastAsia="zh-CN"/>
        </w:rPr>
        <w:t xml:space="preserve">    （二）公用经费235.39万元。主要包括：办公费、印刷费、水费、电费、邮电费、差旅费、维修（护）费、会议费、培训费、公务接待费、工会经费、福利费、公务用车运行维护费、其他交通费用、其他商品和服务支出。</w:t>
      </w:r>
    </w:p>
    <w:p>
      <w:pPr>
        <w:pStyle w:val="6"/>
        <w:spacing w:before="11" w:line="550" w:lineRule="exact"/>
        <w:ind w:right="146" w:firstLine="603" w:firstLineChars="200"/>
        <w:rPr>
          <w:b/>
          <w:bCs/>
          <w:lang w:eastAsia="zh-CN"/>
        </w:rPr>
      </w:pPr>
      <w:r>
        <w:rPr>
          <w:b/>
          <w:bCs/>
          <w:spacing w:val="-10"/>
          <w:lang w:eastAsia="zh-CN"/>
        </w:rPr>
        <w:t>九、一般公共预算</w:t>
      </w:r>
      <w:r>
        <w:rPr>
          <w:b/>
          <w:bCs/>
          <w:lang w:eastAsia="zh-CN"/>
        </w:rPr>
        <w:t>“三公”</w:t>
      </w:r>
      <w:r>
        <w:rPr>
          <w:b/>
          <w:bCs/>
          <w:spacing w:val="-12"/>
          <w:lang w:eastAsia="zh-CN"/>
        </w:rPr>
        <w:t>经费、会议费、培训费支出预算情况说明</w:t>
      </w:r>
    </w:p>
    <w:p>
      <w:pPr>
        <w:pStyle w:val="6"/>
        <w:spacing w:before="11" w:line="550" w:lineRule="exact"/>
        <w:ind w:right="146" w:firstLine="640" w:firstLineChars="200"/>
        <w:rPr>
          <w:lang w:eastAsia="zh-CN"/>
        </w:rPr>
      </w:pPr>
      <w:r>
        <w:rPr>
          <w:lang w:eastAsia="zh-CN"/>
        </w:rPr>
        <w:t>南京市雨花台区人民检察院2021年度一般公共预算拨款安排的“三公”经费预算支出中，因公出国（境）费支出0.00万元，占“三公”经费的0.00%；公务用车购置及运行费支出25.00万元，占“三公”经费的86.7</w:t>
      </w:r>
      <w:r>
        <w:rPr>
          <w:rFonts w:hint="eastAsia"/>
          <w:lang w:eastAsia="zh-CN"/>
        </w:rPr>
        <w:t>2</w:t>
      </w:r>
      <w:r>
        <w:rPr>
          <w:lang w:eastAsia="zh-CN"/>
        </w:rPr>
        <w:t>%；公务接待费支出3.82万元，占“三公”经费的13.2</w:t>
      </w:r>
      <w:r>
        <w:rPr>
          <w:rFonts w:hint="eastAsia"/>
          <w:lang w:eastAsia="zh-CN"/>
        </w:rPr>
        <w:t>8</w:t>
      </w:r>
      <w:r>
        <w:rPr>
          <w:lang w:eastAsia="zh-CN"/>
        </w:rPr>
        <w:t>%。具体情况如下：</w:t>
      </w:r>
    </w:p>
    <w:p>
      <w:pPr>
        <w:pStyle w:val="6"/>
        <w:spacing w:before="11" w:line="550" w:lineRule="exact"/>
        <w:ind w:right="146" w:firstLine="640" w:firstLineChars="200"/>
        <w:rPr>
          <w:lang w:eastAsia="zh-CN"/>
        </w:rPr>
      </w:pPr>
      <w:r>
        <w:rPr>
          <w:lang w:eastAsia="zh-CN"/>
        </w:rPr>
        <w:t>1．因公出国（境）费预算支出0.00万元，比上年预算减少0.00万元，主要原因是厉行节约，当前预算年度无因公出国（境）预算支出安排。</w:t>
      </w:r>
    </w:p>
    <w:p>
      <w:pPr>
        <w:pStyle w:val="6"/>
        <w:spacing w:before="11" w:line="550" w:lineRule="exact"/>
        <w:ind w:right="146" w:firstLine="640" w:firstLineChars="200"/>
        <w:rPr>
          <w:lang w:eastAsia="zh-CN"/>
        </w:rPr>
      </w:pPr>
      <w:r>
        <w:rPr>
          <w:lang w:eastAsia="zh-CN"/>
        </w:rPr>
        <w:t>2．公务用车购置及运行维护费预算支出25.00万元。其中：</w:t>
      </w:r>
    </w:p>
    <w:p>
      <w:pPr>
        <w:pStyle w:val="6"/>
        <w:spacing w:before="11" w:line="550" w:lineRule="exact"/>
        <w:ind w:right="146" w:firstLine="640" w:firstLineChars="200"/>
        <w:rPr>
          <w:lang w:eastAsia="zh-CN"/>
        </w:rPr>
      </w:pPr>
      <w:r>
        <w:rPr>
          <w:lang w:eastAsia="zh-CN"/>
        </w:rPr>
        <w:t>（1）公务用车购置预算支出0.00万元，比上年预算减少0.00万元，主要原因是厉行节约，当前预算年度无公务用车购置预算支出安排。</w:t>
      </w:r>
    </w:p>
    <w:p>
      <w:pPr>
        <w:pStyle w:val="6"/>
        <w:spacing w:before="11" w:line="550" w:lineRule="exact"/>
        <w:ind w:right="146" w:firstLine="640" w:firstLineChars="200"/>
        <w:rPr>
          <w:lang w:eastAsia="zh-CN"/>
        </w:rPr>
      </w:pPr>
      <w:r>
        <w:rPr>
          <w:lang w:eastAsia="zh-CN"/>
        </w:rPr>
        <w:t>（2）公务用车运行维护费预算支出25.00万元，比上年预算减少0.00万元，主要原因是与上年预算数相同。</w:t>
      </w:r>
    </w:p>
    <w:p>
      <w:pPr>
        <w:pStyle w:val="6"/>
        <w:spacing w:before="11" w:line="550" w:lineRule="exact"/>
        <w:ind w:right="146" w:firstLine="640" w:firstLineChars="200"/>
        <w:rPr>
          <w:lang w:eastAsia="zh-CN"/>
        </w:rPr>
      </w:pPr>
      <w:r>
        <w:rPr>
          <w:lang w:eastAsia="zh-CN"/>
        </w:rPr>
        <w:t>3．公务接待费预算支出3.82万元，比上年预算减少1.28万元，</w:t>
      </w:r>
      <w:r>
        <w:rPr>
          <w:color w:val="000000" w:themeColor="text1"/>
          <w:lang w:eastAsia="zh-CN"/>
        </w:rPr>
        <w:t>主要原因是厉行节约，降低接待标准。</w:t>
      </w:r>
    </w:p>
    <w:p>
      <w:pPr>
        <w:pStyle w:val="6"/>
        <w:spacing w:before="11" w:line="550" w:lineRule="exact"/>
        <w:ind w:right="146" w:firstLine="640" w:firstLineChars="200"/>
        <w:rPr>
          <w:color w:val="000000" w:themeColor="text1"/>
          <w:lang w:eastAsia="zh-CN"/>
        </w:rPr>
      </w:pPr>
      <w:r>
        <w:rPr>
          <w:color w:val="000000" w:themeColor="text1"/>
          <w:lang w:eastAsia="zh-CN"/>
        </w:rPr>
        <w:t>南京市雨花台区人民检察院2021年度一般公共预算拨款安排的会议费预算支出8.67万元，比上年预算减少2.73万元，主要原因是有效</w:t>
      </w:r>
      <w:r>
        <w:rPr>
          <w:rFonts w:hint="eastAsia"/>
          <w:color w:val="000000" w:themeColor="text1"/>
          <w:lang w:eastAsia="zh-CN"/>
        </w:rPr>
        <w:t>利用远程会议系统召开视频会议，缩减会议开支。</w:t>
      </w:r>
    </w:p>
    <w:p>
      <w:pPr>
        <w:pStyle w:val="6"/>
        <w:spacing w:before="11" w:line="550" w:lineRule="exact"/>
        <w:ind w:right="146" w:firstLine="640" w:firstLineChars="200"/>
        <w:rPr>
          <w:color w:val="000000" w:themeColor="text1"/>
          <w:w w:val="95"/>
          <w:lang w:eastAsia="zh-CN"/>
        </w:rPr>
      </w:pPr>
      <w:r>
        <w:rPr>
          <w:color w:val="000000" w:themeColor="text1"/>
          <w:lang w:eastAsia="zh-CN"/>
        </w:rPr>
        <w:t>南京市雨花台区人民检察院2021年度一般公共预算拨款安排的培训费预算支出11.48万元，比上年预算增加0.98万元，主要原因是</w:t>
      </w:r>
      <w:r>
        <w:rPr>
          <w:rFonts w:hint="eastAsia"/>
          <w:color w:val="000000" w:themeColor="text1"/>
          <w:lang w:eastAsia="zh-CN"/>
        </w:rPr>
        <w:t>为</w:t>
      </w:r>
      <w:r>
        <w:rPr>
          <w:color w:val="000000" w:themeColor="text1"/>
          <w:lang w:eastAsia="zh-CN"/>
        </w:rPr>
        <w:t>着力培养检察业务骨干，今年拟组织各类业务培训。</w:t>
      </w:r>
    </w:p>
    <w:p>
      <w:pPr>
        <w:pStyle w:val="6"/>
        <w:spacing w:before="11" w:line="550" w:lineRule="exact"/>
        <w:ind w:right="146" w:firstLine="643" w:firstLineChars="200"/>
        <w:rPr>
          <w:b/>
          <w:bCs/>
          <w:lang w:eastAsia="zh-CN"/>
        </w:rPr>
      </w:pPr>
      <w:r>
        <w:rPr>
          <w:b/>
          <w:bCs/>
          <w:lang w:eastAsia="zh-CN"/>
        </w:rPr>
        <w:t>十、政府性基金预算支出预算情况说明</w:t>
      </w:r>
    </w:p>
    <w:p>
      <w:pPr>
        <w:pStyle w:val="6"/>
        <w:spacing w:before="11" w:line="550" w:lineRule="exact"/>
        <w:ind w:right="146" w:firstLine="640" w:firstLineChars="200"/>
        <w:rPr>
          <w:lang w:eastAsia="zh-CN"/>
        </w:rPr>
      </w:pPr>
      <w:r>
        <w:rPr>
          <w:lang w:eastAsia="zh-CN"/>
        </w:rPr>
        <w:t>南京市雨花台区人民检察院2021年政府性基金支出预算支出0.00万元。与上年相比增加0.00万元，主要原因是本部门无政府性基金预算安排。</w:t>
      </w:r>
    </w:p>
    <w:p>
      <w:pPr>
        <w:pStyle w:val="6"/>
        <w:spacing w:before="106" w:line="550" w:lineRule="exact"/>
        <w:ind w:firstLine="643" w:firstLineChars="200"/>
        <w:rPr>
          <w:b/>
          <w:bCs/>
          <w:lang w:eastAsia="zh-CN"/>
        </w:rPr>
      </w:pPr>
      <w:r>
        <w:rPr>
          <w:b/>
          <w:bCs/>
          <w:lang w:eastAsia="zh-CN"/>
        </w:rPr>
        <w:t>十一、一般公共预算机关运行经费支出预算情况说明</w:t>
      </w:r>
    </w:p>
    <w:p>
      <w:pPr>
        <w:pStyle w:val="6"/>
        <w:spacing w:before="106" w:line="550" w:lineRule="exact"/>
        <w:ind w:firstLine="640" w:firstLineChars="200"/>
        <w:rPr>
          <w:color w:val="000000" w:themeColor="text1"/>
          <w:lang w:eastAsia="zh-CN"/>
        </w:rPr>
      </w:pPr>
      <w:r>
        <w:rPr>
          <w:color w:val="000000" w:themeColor="text1"/>
          <w:lang w:eastAsia="zh-CN"/>
        </w:rPr>
        <w:t>2021年本部门一般公共预算机关运行经费预算支出235.39万元，与上年相比减少41.87万元，减少15.10%。主要原因是因检察体制改革和人员调动、退休等原因，</w:t>
      </w:r>
      <w:r>
        <w:rPr>
          <w:rFonts w:hint="eastAsia"/>
          <w:color w:val="000000" w:themeColor="text1"/>
          <w:lang w:eastAsia="zh-CN"/>
        </w:rPr>
        <w:t>今年人员减少，</w:t>
      </w:r>
      <w:r>
        <w:rPr>
          <w:color w:val="000000" w:themeColor="text1"/>
          <w:lang w:eastAsia="zh-CN"/>
        </w:rPr>
        <w:t xml:space="preserve">公用经费相应减少。 </w:t>
      </w:r>
    </w:p>
    <w:p>
      <w:pPr>
        <w:pStyle w:val="6"/>
        <w:tabs>
          <w:tab w:val="left" w:pos="7862"/>
        </w:tabs>
        <w:spacing w:before="40" w:line="550" w:lineRule="exact"/>
        <w:ind w:firstLine="611" w:firstLineChars="200"/>
        <w:rPr>
          <w:b/>
          <w:bCs/>
          <w:lang w:eastAsia="zh-CN"/>
        </w:rPr>
      </w:pPr>
      <w:r>
        <w:rPr>
          <w:b/>
          <w:bCs/>
          <w:w w:val="95"/>
          <w:lang w:eastAsia="zh-CN"/>
        </w:rPr>
        <w:t>十二、政府采购支出预算情况说明</w:t>
      </w:r>
    </w:p>
    <w:p>
      <w:pPr>
        <w:pStyle w:val="6"/>
        <w:tabs>
          <w:tab w:val="left" w:pos="7862"/>
        </w:tabs>
        <w:spacing w:before="40" w:line="550" w:lineRule="exact"/>
        <w:ind w:firstLine="640" w:firstLineChars="200"/>
        <w:rPr>
          <w:color w:val="000000" w:themeColor="text1"/>
          <w:lang w:eastAsia="zh-CN"/>
        </w:rPr>
      </w:pPr>
      <w:r>
        <w:rPr>
          <w:lang w:eastAsia="zh-CN"/>
        </w:rPr>
        <w:t>2021年度政府采购支出预算总额60.50万元，其中：拟采购货物支出60.50万元、拟采购工程支出0.00万元、拟购买服务支出</w:t>
      </w:r>
      <w:r>
        <w:rPr>
          <w:rFonts w:hint="eastAsia"/>
          <w:color w:val="000000" w:themeColor="text1"/>
          <w:lang w:eastAsia="zh-CN"/>
        </w:rPr>
        <w:t>220</w:t>
      </w:r>
      <w:r>
        <w:rPr>
          <w:color w:val="000000" w:themeColor="text1"/>
          <w:lang w:eastAsia="zh-CN"/>
        </w:rPr>
        <w:t>.</w:t>
      </w:r>
      <w:r>
        <w:rPr>
          <w:rFonts w:hint="eastAsia"/>
          <w:color w:val="000000" w:themeColor="text1"/>
          <w:lang w:eastAsia="zh-CN"/>
        </w:rPr>
        <w:t>00</w:t>
      </w:r>
      <w:r>
        <w:rPr>
          <w:color w:val="000000" w:themeColor="text1"/>
          <w:lang w:eastAsia="zh-CN"/>
        </w:rPr>
        <w:t>万元。</w:t>
      </w:r>
    </w:p>
    <w:p>
      <w:pPr>
        <w:pStyle w:val="6"/>
        <w:spacing w:before="129" w:line="550" w:lineRule="exact"/>
        <w:ind w:right="260" w:firstLine="611" w:firstLineChars="200"/>
        <w:jc w:val="both"/>
        <w:rPr>
          <w:b/>
          <w:bCs/>
          <w:lang w:eastAsia="zh-CN"/>
        </w:rPr>
      </w:pPr>
      <w:r>
        <w:rPr>
          <w:b/>
          <w:bCs/>
          <w:w w:val="95"/>
          <w:lang w:eastAsia="zh-CN"/>
        </w:rPr>
        <w:t>十三、国有资产占用情况说明</w:t>
      </w:r>
    </w:p>
    <w:p>
      <w:pPr>
        <w:pStyle w:val="6"/>
        <w:spacing w:before="129" w:line="550" w:lineRule="exact"/>
        <w:ind w:right="260" w:firstLine="648" w:firstLineChars="200"/>
        <w:jc w:val="both"/>
        <w:rPr>
          <w:spacing w:val="2"/>
          <w:lang w:eastAsia="zh-CN"/>
        </w:rPr>
      </w:pPr>
      <w:r>
        <w:rPr>
          <w:spacing w:val="2"/>
          <w:lang w:eastAsia="zh-CN"/>
        </w:rPr>
        <w:t>本部门共有车</w:t>
      </w:r>
      <w:r>
        <w:rPr>
          <w:color w:val="000000" w:themeColor="text1"/>
          <w:spacing w:val="2"/>
          <w:lang w:eastAsia="zh-CN"/>
        </w:rPr>
        <w:t>辆</w:t>
      </w:r>
      <w:r>
        <w:rPr>
          <w:rFonts w:hint="eastAsia"/>
          <w:color w:val="000000" w:themeColor="text1"/>
          <w:spacing w:val="2"/>
          <w:lang w:eastAsia="zh-CN"/>
        </w:rPr>
        <w:t>10</w:t>
      </w:r>
      <w:r>
        <w:rPr>
          <w:color w:val="000000" w:themeColor="text1"/>
          <w:spacing w:val="2"/>
          <w:lang w:eastAsia="zh-CN"/>
        </w:rPr>
        <w:t>辆</w:t>
      </w:r>
      <w:r>
        <w:rPr>
          <w:spacing w:val="2"/>
          <w:lang w:eastAsia="zh-CN"/>
        </w:rPr>
        <w:t>，其中，一般公务用车</w:t>
      </w:r>
      <w:r>
        <w:rPr>
          <w:rFonts w:hint="eastAsia"/>
          <w:spacing w:val="2"/>
          <w:lang w:eastAsia="zh-CN"/>
        </w:rPr>
        <w:t>2</w:t>
      </w:r>
      <w:r>
        <w:rPr>
          <w:spacing w:val="2"/>
          <w:lang w:eastAsia="zh-CN"/>
        </w:rPr>
        <w:t>辆、执法执勤用车</w:t>
      </w:r>
      <w:r>
        <w:rPr>
          <w:rFonts w:hint="eastAsia"/>
          <w:spacing w:val="2"/>
          <w:lang w:eastAsia="zh-CN"/>
        </w:rPr>
        <w:t>8</w:t>
      </w:r>
      <w:r>
        <w:rPr>
          <w:spacing w:val="2"/>
          <w:lang w:eastAsia="zh-CN"/>
        </w:rPr>
        <w:t>辆、特种专业技术用车</w:t>
      </w:r>
      <w:r>
        <w:rPr>
          <w:rFonts w:hint="eastAsia"/>
          <w:spacing w:val="2"/>
          <w:lang w:eastAsia="zh-CN"/>
        </w:rPr>
        <w:t>0</w:t>
      </w:r>
      <w:r>
        <w:rPr>
          <w:spacing w:val="2"/>
          <w:lang w:eastAsia="zh-CN"/>
        </w:rPr>
        <w:t>辆、业务用车</w:t>
      </w:r>
      <w:r>
        <w:rPr>
          <w:rFonts w:hint="eastAsia"/>
          <w:spacing w:val="2"/>
          <w:lang w:eastAsia="zh-CN"/>
        </w:rPr>
        <w:t>0</w:t>
      </w:r>
      <w:r>
        <w:rPr>
          <w:spacing w:val="2"/>
          <w:lang w:eastAsia="zh-CN"/>
        </w:rPr>
        <w:t>辆、其他用车</w:t>
      </w:r>
      <w:r>
        <w:rPr>
          <w:rFonts w:hint="eastAsia"/>
          <w:spacing w:val="2"/>
          <w:lang w:eastAsia="zh-CN"/>
        </w:rPr>
        <w:t>0</w:t>
      </w:r>
      <w:r>
        <w:rPr>
          <w:spacing w:val="2"/>
          <w:lang w:eastAsia="zh-CN"/>
        </w:rPr>
        <w:t>辆等。单价50.00万元（含）以上的通用设备</w:t>
      </w:r>
      <w:r>
        <w:rPr>
          <w:rFonts w:hint="eastAsia"/>
          <w:spacing w:val="2"/>
          <w:lang w:eastAsia="zh-CN"/>
        </w:rPr>
        <w:t>4</w:t>
      </w:r>
      <w:r>
        <w:rPr>
          <w:spacing w:val="2"/>
          <w:lang w:eastAsia="zh-CN"/>
        </w:rPr>
        <w:t>台（套），单价100.00万元（含）以上的专用设备</w:t>
      </w:r>
      <w:r>
        <w:rPr>
          <w:rFonts w:hint="eastAsia"/>
          <w:spacing w:val="2"/>
          <w:lang w:eastAsia="zh-CN"/>
        </w:rPr>
        <w:t>0</w:t>
      </w:r>
      <w:r>
        <w:rPr>
          <w:spacing w:val="2"/>
          <w:lang w:eastAsia="zh-CN"/>
        </w:rPr>
        <w:t>台（套）。</w:t>
      </w:r>
    </w:p>
    <w:p>
      <w:pPr>
        <w:pStyle w:val="6"/>
        <w:spacing w:before="59" w:line="550" w:lineRule="exact"/>
        <w:ind w:firstLine="651" w:firstLineChars="200"/>
        <w:jc w:val="both"/>
        <w:rPr>
          <w:b/>
          <w:bCs/>
          <w:spacing w:val="2"/>
          <w:lang w:eastAsia="zh-CN"/>
        </w:rPr>
      </w:pPr>
      <w:r>
        <w:rPr>
          <w:b/>
          <w:bCs/>
          <w:spacing w:val="2"/>
          <w:lang w:eastAsia="zh-CN"/>
        </w:rPr>
        <w:t>十四、预算绩效目标设置情况说明</w:t>
      </w:r>
    </w:p>
    <w:p>
      <w:pPr>
        <w:pStyle w:val="6"/>
        <w:spacing w:before="59" w:line="550" w:lineRule="exact"/>
        <w:ind w:firstLine="640" w:firstLineChars="200"/>
        <w:jc w:val="both"/>
        <w:rPr>
          <w:color w:val="000000" w:themeColor="text1"/>
          <w:spacing w:val="2"/>
          <w:lang w:eastAsia="zh-CN"/>
        </w:rPr>
      </w:pPr>
      <w:r>
        <w:rPr>
          <w:color w:val="000000" w:themeColor="text1"/>
          <w:lang w:eastAsia="zh-CN"/>
        </w:rPr>
        <w:t>2021年度，本部门整体支出（</w:t>
      </w:r>
      <w:r>
        <w:rPr>
          <w:rFonts w:hint="eastAsia" w:asciiTheme="minorEastAsia" w:hAnsiTheme="minorEastAsia" w:eastAsiaTheme="minorEastAsia"/>
          <w:color w:val="000000" w:themeColor="text1"/>
          <w:lang w:eastAsia="zh-CN"/>
        </w:rPr>
        <w:t xml:space="preserve">☑ </w:t>
      </w:r>
      <w:r>
        <w:rPr>
          <w:color w:val="000000" w:themeColor="text1"/>
          <w:lang w:eastAsia="zh-CN"/>
        </w:rPr>
        <w:t>纳入、□未纳入）绩效目标管理，涉及四本预算资金3346.74万元；本部门单位共</w:t>
      </w:r>
      <w:r>
        <w:rPr>
          <w:rFonts w:hint="eastAsia"/>
          <w:color w:val="000000" w:themeColor="text1"/>
          <w:lang w:eastAsia="zh-CN"/>
        </w:rPr>
        <w:t>6</w:t>
      </w:r>
      <w:r>
        <w:rPr>
          <w:color w:val="000000" w:themeColor="text1"/>
          <w:lang w:eastAsia="zh-CN"/>
        </w:rPr>
        <w:t>个项目纳入绩效目标管理，涉及四本预算资金合计</w:t>
      </w:r>
      <w:r>
        <w:rPr>
          <w:rFonts w:hint="eastAsia"/>
          <w:color w:val="000000" w:themeColor="text1"/>
          <w:lang w:eastAsia="zh-CN"/>
        </w:rPr>
        <w:t>977</w:t>
      </w:r>
      <w:r>
        <w:rPr>
          <w:color w:val="000000" w:themeColor="text1"/>
          <w:lang w:eastAsia="zh-CN"/>
        </w:rPr>
        <w:t>万元，占四本预算资金(基本支出除外)总额的比例为</w:t>
      </w:r>
      <w:r>
        <w:rPr>
          <w:rFonts w:hint="eastAsia"/>
          <w:color w:val="000000" w:themeColor="text1"/>
          <w:lang w:eastAsia="zh-CN"/>
        </w:rPr>
        <w:t>100</w:t>
      </w:r>
      <w:r>
        <w:rPr>
          <w:color w:val="000000" w:themeColor="text1"/>
          <w:lang w:eastAsia="zh-CN"/>
        </w:rPr>
        <w:t>%。</w:t>
      </w: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rFonts w:hint="eastAsia"/>
          <w:spacing w:val="2"/>
          <w:lang w:eastAsia="zh-CN"/>
        </w:rPr>
      </w:pPr>
    </w:p>
    <w:p>
      <w:pPr>
        <w:pStyle w:val="6"/>
        <w:spacing w:before="59" w:line="550" w:lineRule="exact"/>
        <w:ind w:firstLine="648" w:firstLineChars="200"/>
        <w:jc w:val="both"/>
        <w:rPr>
          <w:rFonts w:hint="eastAsia"/>
          <w:spacing w:val="2"/>
          <w:lang w:eastAsia="zh-CN"/>
        </w:rPr>
      </w:pPr>
    </w:p>
    <w:p>
      <w:pPr>
        <w:pStyle w:val="6"/>
        <w:spacing w:before="59" w:line="550" w:lineRule="exact"/>
        <w:ind w:firstLine="648" w:firstLineChars="200"/>
        <w:jc w:val="both"/>
        <w:rPr>
          <w:rFonts w:hint="eastAsia"/>
          <w:spacing w:val="2"/>
          <w:lang w:eastAsia="zh-CN"/>
        </w:rPr>
      </w:pPr>
    </w:p>
    <w:p>
      <w:pPr>
        <w:pStyle w:val="6"/>
        <w:spacing w:before="59" w:line="550" w:lineRule="exact"/>
        <w:ind w:firstLine="648" w:firstLineChars="200"/>
        <w:jc w:val="both"/>
        <w:rPr>
          <w:rFonts w:hint="eastAsia"/>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pStyle w:val="6"/>
        <w:spacing w:before="59" w:line="550" w:lineRule="exact"/>
        <w:ind w:firstLine="648" w:firstLineChars="200"/>
        <w:jc w:val="both"/>
        <w:rPr>
          <w:spacing w:val="2"/>
          <w:lang w:eastAsia="zh-CN"/>
        </w:rPr>
      </w:pPr>
    </w:p>
    <w:p>
      <w:pPr>
        <w:spacing w:line="550" w:lineRule="exact"/>
        <w:jc w:val="center"/>
        <w:rPr>
          <w:rFonts w:ascii="宋体" w:hAnsi="宋体"/>
          <w:b/>
          <w:bCs/>
          <w:sz w:val="44"/>
          <w:szCs w:val="44"/>
        </w:rPr>
      </w:pPr>
      <w:r>
        <w:rPr>
          <w:rFonts w:ascii="宋体" w:hAnsi="宋体"/>
          <w:b/>
          <w:bCs/>
          <w:sz w:val="44"/>
          <w:szCs w:val="44"/>
        </w:rPr>
        <w:t>第四部分</w:t>
      </w:r>
      <w:r>
        <w:rPr>
          <w:rFonts w:ascii="宋体" w:hAnsi="宋体"/>
          <w:b/>
          <w:bCs/>
          <w:sz w:val="44"/>
          <w:szCs w:val="44"/>
        </w:rPr>
        <w:tab/>
      </w:r>
      <w:r>
        <w:rPr>
          <w:rFonts w:ascii="宋体" w:hAnsi="宋体"/>
          <w:b/>
          <w:bCs/>
          <w:sz w:val="44"/>
          <w:szCs w:val="44"/>
        </w:rPr>
        <w:t>名词解释</w:t>
      </w:r>
    </w:p>
    <w:p>
      <w:pPr>
        <w:pStyle w:val="6"/>
        <w:spacing w:before="2" w:line="550" w:lineRule="exact"/>
        <w:ind w:firstLine="620"/>
        <w:rPr>
          <w:spacing w:val="2"/>
          <w:lang w:eastAsia="zh-CN"/>
        </w:rPr>
      </w:pPr>
    </w:p>
    <w:p>
      <w:pPr>
        <w:pStyle w:val="6"/>
        <w:spacing w:line="550" w:lineRule="exact"/>
        <w:ind w:left="109" w:right="107" w:firstLine="386"/>
        <w:jc w:val="both"/>
        <w:rPr>
          <w:spacing w:val="2"/>
          <w:lang w:eastAsia="zh-CN"/>
        </w:rPr>
      </w:pPr>
      <w:r>
        <w:rPr>
          <w:b/>
          <w:bCs/>
          <w:spacing w:val="2"/>
          <w:lang w:eastAsia="zh-CN"/>
        </w:rPr>
        <w:t>一、财政拨款：</w:t>
      </w:r>
      <w:r>
        <w:rPr>
          <w:spacing w:val="2"/>
          <w:lang w:eastAsia="zh-CN"/>
        </w:rPr>
        <w:t>单位从同级财政部门取得的各类财政拨款，包括一般公共预算拨款、政府性基金预算拨款、国有资本经营预算拨款。</w:t>
      </w:r>
    </w:p>
    <w:p>
      <w:pPr>
        <w:pStyle w:val="6"/>
        <w:spacing w:before="31" w:line="550" w:lineRule="exact"/>
        <w:ind w:left="109" w:right="106" w:firstLine="386"/>
        <w:jc w:val="both"/>
        <w:rPr>
          <w:spacing w:val="2"/>
          <w:lang w:eastAsia="zh-CN"/>
        </w:rPr>
      </w:pPr>
      <w:r>
        <w:rPr>
          <w:b/>
          <w:bCs/>
          <w:spacing w:val="2"/>
          <w:lang w:eastAsia="zh-CN"/>
        </w:rPr>
        <w:t>二、财政专户管理资金：</w:t>
      </w:r>
      <w:r>
        <w:rPr>
          <w:spacing w:val="2"/>
          <w:lang w:eastAsia="zh-CN"/>
        </w:rPr>
        <w:t>缴入财政专户、实行专项管理的高中以上学费、住宿费、高校委托培养费、函大、电大、夜大及短训班培训费等教育收费。</w:t>
      </w:r>
    </w:p>
    <w:p>
      <w:pPr>
        <w:pStyle w:val="6"/>
        <w:spacing w:before="28" w:line="550" w:lineRule="exact"/>
        <w:ind w:left="109" w:right="107" w:firstLine="480"/>
        <w:jc w:val="both"/>
        <w:rPr>
          <w:spacing w:val="2"/>
          <w:lang w:eastAsia="zh-CN"/>
        </w:rPr>
      </w:pPr>
      <w:r>
        <w:rPr>
          <w:b/>
          <w:bCs/>
          <w:spacing w:val="2"/>
          <w:lang w:eastAsia="zh-CN"/>
        </w:rPr>
        <w:t>三、单位资金：</w:t>
      </w:r>
      <w:r>
        <w:rPr>
          <w:spacing w:val="2"/>
          <w:lang w:eastAsia="zh-CN"/>
        </w:rPr>
        <w:t>除财政拨款收入和财政专户管理资金以外的收入，包括事业收入（不含教育收费）、上级补助收入、附属单位上缴收入、事业单位经营收入及其他收入（包含债务收入、投资 收益等）。</w:t>
      </w:r>
    </w:p>
    <w:p>
      <w:pPr>
        <w:pStyle w:val="6"/>
        <w:spacing w:before="34" w:line="550" w:lineRule="exact"/>
        <w:ind w:left="109" w:firstLine="454"/>
        <w:jc w:val="both"/>
        <w:rPr>
          <w:spacing w:val="2"/>
          <w:lang w:eastAsia="zh-CN"/>
        </w:rPr>
      </w:pPr>
      <w:r>
        <w:rPr>
          <w:rFonts w:hint="eastAsia"/>
          <w:b/>
          <w:bCs/>
          <w:spacing w:val="2"/>
          <w:lang w:eastAsia="zh-CN"/>
        </w:rPr>
        <w:t>四</w:t>
      </w:r>
      <w:r>
        <w:rPr>
          <w:b/>
          <w:bCs/>
          <w:spacing w:val="2"/>
          <w:lang w:eastAsia="zh-CN"/>
        </w:rPr>
        <w:t>、基本支出：</w:t>
      </w:r>
      <w:r>
        <w:rPr>
          <w:spacing w:val="2"/>
          <w:lang w:eastAsia="zh-CN"/>
        </w:rPr>
        <w:t>指为保障机构正常运转、完成工作任务而发生的人员支出和公用支出。</w:t>
      </w:r>
    </w:p>
    <w:p>
      <w:pPr>
        <w:pStyle w:val="6"/>
        <w:spacing w:before="130" w:line="550" w:lineRule="exact"/>
        <w:ind w:left="109" w:right="267" w:firstLine="480"/>
        <w:rPr>
          <w:spacing w:val="2"/>
          <w:lang w:eastAsia="zh-CN"/>
        </w:rPr>
      </w:pPr>
      <w:r>
        <w:rPr>
          <w:rFonts w:hint="eastAsia"/>
          <w:b/>
          <w:bCs/>
          <w:spacing w:val="2"/>
          <w:lang w:eastAsia="zh-CN"/>
        </w:rPr>
        <w:t>五</w:t>
      </w:r>
      <w:r>
        <w:rPr>
          <w:b/>
          <w:bCs/>
          <w:spacing w:val="2"/>
          <w:lang w:eastAsia="zh-CN"/>
        </w:rPr>
        <w:t>、项目支出：</w:t>
      </w:r>
      <w:r>
        <w:rPr>
          <w:spacing w:val="2"/>
          <w:lang w:eastAsia="zh-CN"/>
        </w:rPr>
        <w:t>指在基本支出之外为完成特定工作任务和事业发展目标所发生的支出。</w:t>
      </w:r>
    </w:p>
    <w:p>
      <w:pPr>
        <w:pStyle w:val="6"/>
        <w:spacing w:before="130" w:line="550" w:lineRule="exact"/>
        <w:ind w:left="109" w:right="267" w:firstLine="480"/>
        <w:rPr>
          <w:spacing w:val="2"/>
          <w:lang w:eastAsia="zh-CN"/>
        </w:rPr>
      </w:pPr>
      <w:r>
        <w:rPr>
          <w:rFonts w:hint="eastAsia"/>
          <w:b/>
          <w:bCs/>
          <w:spacing w:val="2"/>
          <w:lang w:eastAsia="zh-CN"/>
        </w:rPr>
        <w:t>六</w:t>
      </w:r>
      <w:r>
        <w:rPr>
          <w:b/>
          <w:bCs/>
          <w:spacing w:val="2"/>
          <w:lang w:eastAsia="zh-CN"/>
        </w:rPr>
        <w:t>、“三公”经费：</w:t>
      </w:r>
      <w:r>
        <w:rPr>
          <w:spacing w:val="2"/>
          <w:lang w:eastAsia="zh-CN"/>
        </w:rPr>
        <w:t>指部门用一般公共预算财政拨款安排的因公出国（境）费、公务用车购置及运行维护费和公务接待费。其中，因公出国（境）费反映单位公务出国</w:t>
      </w:r>
      <w:r>
        <w:rPr>
          <w:rFonts w:hint="eastAsia"/>
          <w:spacing w:val="2"/>
          <w:lang w:eastAsia="zh-CN"/>
        </w:rPr>
        <w:t>（</w:t>
      </w:r>
      <w:r>
        <w:rPr>
          <w:spacing w:val="2"/>
          <w:lang w:eastAsia="zh-CN"/>
        </w:rPr>
        <w:t>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6"/>
        <w:spacing w:before="34" w:line="550" w:lineRule="exact"/>
        <w:ind w:left="109" w:right="104" w:firstLine="400"/>
        <w:rPr>
          <w:spacing w:val="2"/>
          <w:lang w:eastAsia="zh-CN"/>
        </w:rPr>
      </w:pPr>
      <w:r>
        <w:rPr>
          <w:rFonts w:hint="eastAsia"/>
          <w:b/>
          <w:bCs/>
          <w:spacing w:val="2"/>
          <w:lang w:eastAsia="zh-CN"/>
        </w:rPr>
        <w:t>七</w:t>
      </w:r>
      <w:r>
        <w:rPr>
          <w:b/>
          <w:bCs/>
          <w:spacing w:val="2"/>
          <w:lang w:eastAsia="zh-CN"/>
        </w:rPr>
        <w:t>、机关运行经费：</w:t>
      </w:r>
      <w:r>
        <w:rPr>
          <w:spacing w:val="2"/>
          <w:lang w:eastAsia="zh-CN"/>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550" w:lineRule="exact"/>
        <w:rPr>
          <w:rFonts w:ascii="宋体" w:hAnsi="宋体"/>
          <w:szCs w:val="32"/>
        </w:rPr>
      </w:pPr>
    </w:p>
    <w:sectPr>
      <w:footerReference r:id="rId5" w:type="default"/>
      <w:pgSz w:w="11910" w:h="16840"/>
      <w:pgMar w:top="1134" w:right="1321" w:bottom="1134" w:left="14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altName w:val="Microsoft YaHei UI"/>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t>26</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78EE"/>
    <w:rsid w:val="000042E0"/>
    <w:rsid w:val="00013701"/>
    <w:rsid w:val="00021659"/>
    <w:rsid w:val="00021E6A"/>
    <w:rsid w:val="000277DE"/>
    <w:rsid w:val="00031380"/>
    <w:rsid w:val="00034044"/>
    <w:rsid w:val="00034625"/>
    <w:rsid w:val="00034EA3"/>
    <w:rsid w:val="00043DCA"/>
    <w:rsid w:val="0005561E"/>
    <w:rsid w:val="0007095E"/>
    <w:rsid w:val="00076146"/>
    <w:rsid w:val="00092DDA"/>
    <w:rsid w:val="00094B90"/>
    <w:rsid w:val="00095463"/>
    <w:rsid w:val="000A0168"/>
    <w:rsid w:val="000A345E"/>
    <w:rsid w:val="000A5B50"/>
    <w:rsid w:val="000A6316"/>
    <w:rsid w:val="000A7005"/>
    <w:rsid w:val="000B1FE2"/>
    <w:rsid w:val="000B2CCE"/>
    <w:rsid w:val="000B5CE3"/>
    <w:rsid w:val="000E6E49"/>
    <w:rsid w:val="000F43F9"/>
    <w:rsid w:val="000F4EDD"/>
    <w:rsid w:val="000F764F"/>
    <w:rsid w:val="00101A52"/>
    <w:rsid w:val="001035F2"/>
    <w:rsid w:val="001062B4"/>
    <w:rsid w:val="0010639D"/>
    <w:rsid w:val="00111B2B"/>
    <w:rsid w:val="001256F6"/>
    <w:rsid w:val="001352ED"/>
    <w:rsid w:val="00144C2F"/>
    <w:rsid w:val="00147B2C"/>
    <w:rsid w:val="00154B38"/>
    <w:rsid w:val="001636BD"/>
    <w:rsid w:val="00164131"/>
    <w:rsid w:val="0018378F"/>
    <w:rsid w:val="001A12F1"/>
    <w:rsid w:val="001A27DA"/>
    <w:rsid w:val="001A368D"/>
    <w:rsid w:val="001B23A7"/>
    <w:rsid w:val="001B54C2"/>
    <w:rsid w:val="001C0B2B"/>
    <w:rsid w:val="001D16C6"/>
    <w:rsid w:val="001F2C62"/>
    <w:rsid w:val="001F39F4"/>
    <w:rsid w:val="00201A8E"/>
    <w:rsid w:val="00203314"/>
    <w:rsid w:val="00203D61"/>
    <w:rsid w:val="0020575A"/>
    <w:rsid w:val="00226E52"/>
    <w:rsid w:val="00236EC2"/>
    <w:rsid w:val="002478D4"/>
    <w:rsid w:val="002509FF"/>
    <w:rsid w:val="002516AC"/>
    <w:rsid w:val="0026052D"/>
    <w:rsid w:val="002608E5"/>
    <w:rsid w:val="002628BC"/>
    <w:rsid w:val="0028750A"/>
    <w:rsid w:val="00287A04"/>
    <w:rsid w:val="00293ACC"/>
    <w:rsid w:val="002A25B0"/>
    <w:rsid w:val="002A452A"/>
    <w:rsid w:val="002B29B2"/>
    <w:rsid w:val="002B6603"/>
    <w:rsid w:val="002C128A"/>
    <w:rsid w:val="002D43AE"/>
    <w:rsid w:val="002E0002"/>
    <w:rsid w:val="002E1311"/>
    <w:rsid w:val="002F1D03"/>
    <w:rsid w:val="002F25D1"/>
    <w:rsid w:val="002F6C5A"/>
    <w:rsid w:val="003038EF"/>
    <w:rsid w:val="00312426"/>
    <w:rsid w:val="003126DF"/>
    <w:rsid w:val="00314C67"/>
    <w:rsid w:val="00314EC7"/>
    <w:rsid w:val="00320CAB"/>
    <w:rsid w:val="003219E5"/>
    <w:rsid w:val="00327E74"/>
    <w:rsid w:val="003375AA"/>
    <w:rsid w:val="00342E01"/>
    <w:rsid w:val="003437FF"/>
    <w:rsid w:val="0034405D"/>
    <w:rsid w:val="00346F4A"/>
    <w:rsid w:val="00354EB6"/>
    <w:rsid w:val="00356758"/>
    <w:rsid w:val="00374CBD"/>
    <w:rsid w:val="00382479"/>
    <w:rsid w:val="00383AED"/>
    <w:rsid w:val="003860B8"/>
    <w:rsid w:val="0038620D"/>
    <w:rsid w:val="00396D67"/>
    <w:rsid w:val="003A346D"/>
    <w:rsid w:val="003A6514"/>
    <w:rsid w:val="003B095F"/>
    <w:rsid w:val="003B0DE0"/>
    <w:rsid w:val="003C0AA3"/>
    <w:rsid w:val="003C6151"/>
    <w:rsid w:val="003C7290"/>
    <w:rsid w:val="003D5C8E"/>
    <w:rsid w:val="003F582E"/>
    <w:rsid w:val="00401721"/>
    <w:rsid w:val="0040467C"/>
    <w:rsid w:val="004109D4"/>
    <w:rsid w:val="004337D8"/>
    <w:rsid w:val="00435CB7"/>
    <w:rsid w:val="00443A89"/>
    <w:rsid w:val="00446009"/>
    <w:rsid w:val="00461E72"/>
    <w:rsid w:val="004711FE"/>
    <w:rsid w:val="00473549"/>
    <w:rsid w:val="00473611"/>
    <w:rsid w:val="004831B1"/>
    <w:rsid w:val="00486204"/>
    <w:rsid w:val="00490BF7"/>
    <w:rsid w:val="004913AA"/>
    <w:rsid w:val="004934C3"/>
    <w:rsid w:val="00493FD4"/>
    <w:rsid w:val="004942D8"/>
    <w:rsid w:val="004A6FA2"/>
    <w:rsid w:val="004B0030"/>
    <w:rsid w:val="004C0C38"/>
    <w:rsid w:val="004C1364"/>
    <w:rsid w:val="004C6861"/>
    <w:rsid w:val="004D410A"/>
    <w:rsid w:val="004D7C29"/>
    <w:rsid w:val="004E743E"/>
    <w:rsid w:val="004F2F4A"/>
    <w:rsid w:val="004F7EE7"/>
    <w:rsid w:val="00503A19"/>
    <w:rsid w:val="00512090"/>
    <w:rsid w:val="00514826"/>
    <w:rsid w:val="00520449"/>
    <w:rsid w:val="005315AB"/>
    <w:rsid w:val="00545C85"/>
    <w:rsid w:val="0055609A"/>
    <w:rsid w:val="00560249"/>
    <w:rsid w:val="005660B9"/>
    <w:rsid w:val="00570DC0"/>
    <w:rsid w:val="005749DD"/>
    <w:rsid w:val="005832BE"/>
    <w:rsid w:val="00596F98"/>
    <w:rsid w:val="005A6AFA"/>
    <w:rsid w:val="005A71FB"/>
    <w:rsid w:val="005B27AF"/>
    <w:rsid w:val="005B765B"/>
    <w:rsid w:val="005E4130"/>
    <w:rsid w:val="005F0B3A"/>
    <w:rsid w:val="005F2705"/>
    <w:rsid w:val="005F73C2"/>
    <w:rsid w:val="00602AE8"/>
    <w:rsid w:val="006439DB"/>
    <w:rsid w:val="00650D0B"/>
    <w:rsid w:val="00662C44"/>
    <w:rsid w:val="00663254"/>
    <w:rsid w:val="0066780D"/>
    <w:rsid w:val="00673437"/>
    <w:rsid w:val="00676E60"/>
    <w:rsid w:val="00691A27"/>
    <w:rsid w:val="00691FF8"/>
    <w:rsid w:val="00696519"/>
    <w:rsid w:val="00697834"/>
    <w:rsid w:val="006A0957"/>
    <w:rsid w:val="006B06F9"/>
    <w:rsid w:val="006C3326"/>
    <w:rsid w:val="006C6798"/>
    <w:rsid w:val="006D1B2F"/>
    <w:rsid w:val="006E1465"/>
    <w:rsid w:val="006E5133"/>
    <w:rsid w:val="006E6574"/>
    <w:rsid w:val="006E6AD0"/>
    <w:rsid w:val="006F0178"/>
    <w:rsid w:val="006F4C8C"/>
    <w:rsid w:val="0070047E"/>
    <w:rsid w:val="00706F86"/>
    <w:rsid w:val="00707670"/>
    <w:rsid w:val="007107F2"/>
    <w:rsid w:val="00711171"/>
    <w:rsid w:val="00716644"/>
    <w:rsid w:val="00721E36"/>
    <w:rsid w:val="00727954"/>
    <w:rsid w:val="00736DDB"/>
    <w:rsid w:val="00750028"/>
    <w:rsid w:val="00754835"/>
    <w:rsid w:val="007548BA"/>
    <w:rsid w:val="00757BFC"/>
    <w:rsid w:val="00763D29"/>
    <w:rsid w:val="0076679A"/>
    <w:rsid w:val="00786F00"/>
    <w:rsid w:val="007B242E"/>
    <w:rsid w:val="007B3E3A"/>
    <w:rsid w:val="007C3130"/>
    <w:rsid w:val="007C3A1C"/>
    <w:rsid w:val="007D2222"/>
    <w:rsid w:val="007D67FB"/>
    <w:rsid w:val="007E1B44"/>
    <w:rsid w:val="007E2776"/>
    <w:rsid w:val="007E4C19"/>
    <w:rsid w:val="007F22D5"/>
    <w:rsid w:val="007F6798"/>
    <w:rsid w:val="00800901"/>
    <w:rsid w:val="00803332"/>
    <w:rsid w:val="00811EA7"/>
    <w:rsid w:val="008202EA"/>
    <w:rsid w:val="008278EE"/>
    <w:rsid w:val="00844FB0"/>
    <w:rsid w:val="008452DD"/>
    <w:rsid w:val="0084626D"/>
    <w:rsid w:val="008462C3"/>
    <w:rsid w:val="00846CC3"/>
    <w:rsid w:val="00871101"/>
    <w:rsid w:val="008728C8"/>
    <w:rsid w:val="00874836"/>
    <w:rsid w:val="008768B6"/>
    <w:rsid w:val="00877A5D"/>
    <w:rsid w:val="00883EF3"/>
    <w:rsid w:val="00885091"/>
    <w:rsid w:val="008B0039"/>
    <w:rsid w:val="008E1812"/>
    <w:rsid w:val="008F2E06"/>
    <w:rsid w:val="008F62C7"/>
    <w:rsid w:val="00903E15"/>
    <w:rsid w:val="0091435B"/>
    <w:rsid w:val="00914F87"/>
    <w:rsid w:val="00915405"/>
    <w:rsid w:val="00923ABB"/>
    <w:rsid w:val="00931C28"/>
    <w:rsid w:val="0094169C"/>
    <w:rsid w:val="00942D95"/>
    <w:rsid w:val="00952695"/>
    <w:rsid w:val="00956DA6"/>
    <w:rsid w:val="009640B1"/>
    <w:rsid w:val="0096466B"/>
    <w:rsid w:val="00965B83"/>
    <w:rsid w:val="00975765"/>
    <w:rsid w:val="009834FD"/>
    <w:rsid w:val="0098554F"/>
    <w:rsid w:val="009913AC"/>
    <w:rsid w:val="00995D4A"/>
    <w:rsid w:val="00996E50"/>
    <w:rsid w:val="009A3BDA"/>
    <w:rsid w:val="009A3FD6"/>
    <w:rsid w:val="009A5C81"/>
    <w:rsid w:val="009C19E8"/>
    <w:rsid w:val="009C1E45"/>
    <w:rsid w:val="009C55E3"/>
    <w:rsid w:val="009F025C"/>
    <w:rsid w:val="009F135F"/>
    <w:rsid w:val="009F4146"/>
    <w:rsid w:val="009F5AEA"/>
    <w:rsid w:val="009F7228"/>
    <w:rsid w:val="00A01ECB"/>
    <w:rsid w:val="00A06D2B"/>
    <w:rsid w:val="00A07E1B"/>
    <w:rsid w:val="00A258E6"/>
    <w:rsid w:val="00A371EE"/>
    <w:rsid w:val="00A413CC"/>
    <w:rsid w:val="00A51BEB"/>
    <w:rsid w:val="00A54342"/>
    <w:rsid w:val="00A62657"/>
    <w:rsid w:val="00A63BDD"/>
    <w:rsid w:val="00A80A35"/>
    <w:rsid w:val="00A82899"/>
    <w:rsid w:val="00A94D1E"/>
    <w:rsid w:val="00AA7F56"/>
    <w:rsid w:val="00AC7203"/>
    <w:rsid w:val="00AD7FF4"/>
    <w:rsid w:val="00AE2D78"/>
    <w:rsid w:val="00AE72FA"/>
    <w:rsid w:val="00AE78F3"/>
    <w:rsid w:val="00AF1570"/>
    <w:rsid w:val="00AF27E5"/>
    <w:rsid w:val="00AF7B95"/>
    <w:rsid w:val="00B15CBF"/>
    <w:rsid w:val="00B16D84"/>
    <w:rsid w:val="00B17C12"/>
    <w:rsid w:val="00B20724"/>
    <w:rsid w:val="00B33002"/>
    <w:rsid w:val="00B351BA"/>
    <w:rsid w:val="00B5349E"/>
    <w:rsid w:val="00B71AB5"/>
    <w:rsid w:val="00B775D9"/>
    <w:rsid w:val="00B9361B"/>
    <w:rsid w:val="00B96C33"/>
    <w:rsid w:val="00BA3717"/>
    <w:rsid w:val="00BA4358"/>
    <w:rsid w:val="00BB4A95"/>
    <w:rsid w:val="00BB7C54"/>
    <w:rsid w:val="00BD4A86"/>
    <w:rsid w:val="00BF27C0"/>
    <w:rsid w:val="00C00ADD"/>
    <w:rsid w:val="00C12806"/>
    <w:rsid w:val="00C14418"/>
    <w:rsid w:val="00C25C68"/>
    <w:rsid w:val="00C60FB6"/>
    <w:rsid w:val="00C6290F"/>
    <w:rsid w:val="00C62EF7"/>
    <w:rsid w:val="00C6561A"/>
    <w:rsid w:val="00C82A45"/>
    <w:rsid w:val="00C87318"/>
    <w:rsid w:val="00C9300F"/>
    <w:rsid w:val="00C94DCA"/>
    <w:rsid w:val="00CA0D10"/>
    <w:rsid w:val="00CA2970"/>
    <w:rsid w:val="00CB5A06"/>
    <w:rsid w:val="00CB7DE4"/>
    <w:rsid w:val="00CC03D3"/>
    <w:rsid w:val="00CC7D22"/>
    <w:rsid w:val="00CD1B3C"/>
    <w:rsid w:val="00CD3187"/>
    <w:rsid w:val="00CD7A6F"/>
    <w:rsid w:val="00CE1393"/>
    <w:rsid w:val="00CE21D8"/>
    <w:rsid w:val="00CE33F6"/>
    <w:rsid w:val="00CE52A4"/>
    <w:rsid w:val="00CE7F7C"/>
    <w:rsid w:val="00D02558"/>
    <w:rsid w:val="00D112D2"/>
    <w:rsid w:val="00D1481B"/>
    <w:rsid w:val="00D16F6B"/>
    <w:rsid w:val="00D1781B"/>
    <w:rsid w:val="00D3451E"/>
    <w:rsid w:val="00D46C37"/>
    <w:rsid w:val="00D57AFB"/>
    <w:rsid w:val="00D90816"/>
    <w:rsid w:val="00D9294A"/>
    <w:rsid w:val="00DA0146"/>
    <w:rsid w:val="00DA3AF4"/>
    <w:rsid w:val="00DB0FBC"/>
    <w:rsid w:val="00DB5A58"/>
    <w:rsid w:val="00DB7440"/>
    <w:rsid w:val="00DC1239"/>
    <w:rsid w:val="00DC178F"/>
    <w:rsid w:val="00DC2CED"/>
    <w:rsid w:val="00DC5C86"/>
    <w:rsid w:val="00DD2AD6"/>
    <w:rsid w:val="00DD65C2"/>
    <w:rsid w:val="00DD7437"/>
    <w:rsid w:val="00DE7E8F"/>
    <w:rsid w:val="00DF2865"/>
    <w:rsid w:val="00DF4E5D"/>
    <w:rsid w:val="00E05B50"/>
    <w:rsid w:val="00E070B8"/>
    <w:rsid w:val="00E20F99"/>
    <w:rsid w:val="00E248F5"/>
    <w:rsid w:val="00E26D65"/>
    <w:rsid w:val="00E36C3D"/>
    <w:rsid w:val="00E40738"/>
    <w:rsid w:val="00E42716"/>
    <w:rsid w:val="00E44DC4"/>
    <w:rsid w:val="00E4637F"/>
    <w:rsid w:val="00E639A9"/>
    <w:rsid w:val="00E75DC7"/>
    <w:rsid w:val="00E82468"/>
    <w:rsid w:val="00E85F68"/>
    <w:rsid w:val="00E871B5"/>
    <w:rsid w:val="00E90A13"/>
    <w:rsid w:val="00E91453"/>
    <w:rsid w:val="00E91FC1"/>
    <w:rsid w:val="00E95048"/>
    <w:rsid w:val="00EB7056"/>
    <w:rsid w:val="00EC0DB5"/>
    <w:rsid w:val="00EC5239"/>
    <w:rsid w:val="00EC7EC4"/>
    <w:rsid w:val="00ED007A"/>
    <w:rsid w:val="00ED05A3"/>
    <w:rsid w:val="00ED386A"/>
    <w:rsid w:val="00EE20D3"/>
    <w:rsid w:val="00EF0CD5"/>
    <w:rsid w:val="00F1345C"/>
    <w:rsid w:val="00F168AF"/>
    <w:rsid w:val="00F20528"/>
    <w:rsid w:val="00F21EBB"/>
    <w:rsid w:val="00F2275D"/>
    <w:rsid w:val="00F22FB2"/>
    <w:rsid w:val="00F43175"/>
    <w:rsid w:val="00F43A18"/>
    <w:rsid w:val="00F47054"/>
    <w:rsid w:val="00F52257"/>
    <w:rsid w:val="00F66E8A"/>
    <w:rsid w:val="00FA0BBB"/>
    <w:rsid w:val="00FA220B"/>
    <w:rsid w:val="00FA65F0"/>
    <w:rsid w:val="00FC3634"/>
    <w:rsid w:val="00FD22C1"/>
    <w:rsid w:val="00FE5C0E"/>
    <w:rsid w:val="00FE5D1B"/>
    <w:rsid w:val="00FF17FE"/>
    <w:rsid w:val="00FF2607"/>
    <w:rsid w:val="00FF3A47"/>
    <w:rsid w:val="00FF785D"/>
    <w:rsid w:val="1A8A1A24"/>
    <w:rsid w:val="288941E5"/>
    <w:rsid w:val="44B76A1E"/>
    <w:rsid w:val="626C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22"/>
    <w:unhideWhenUsed/>
    <w:qFormat/>
    <w:uiPriority w:val="9"/>
    <w:pPr>
      <w:autoSpaceDE w:val="0"/>
      <w:autoSpaceDN w:val="0"/>
      <w:ind w:left="216"/>
      <w:jc w:val="left"/>
      <w:outlineLvl w:val="3"/>
    </w:pPr>
    <w:rPr>
      <w:rFonts w:ascii="宋体" w:hAnsi="宋体" w:cs="宋体"/>
      <w:kern w:val="0"/>
      <w:sz w:val="36"/>
      <w:szCs w:val="36"/>
      <w:lang w:eastAsia="en-US"/>
    </w:rPr>
  </w:style>
  <w:style w:type="paragraph" w:styleId="5">
    <w:name w:val="heading 5"/>
    <w:basedOn w:val="1"/>
    <w:next w:val="1"/>
    <w:link w:val="23"/>
    <w:unhideWhenUsed/>
    <w:qFormat/>
    <w:uiPriority w:val="9"/>
    <w:pPr>
      <w:autoSpaceDE w:val="0"/>
      <w:autoSpaceDN w:val="0"/>
      <w:spacing w:before="95"/>
      <w:ind w:left="109"/>
      <w:jc w:val="left"/>
      <w:outlineLvl w:val="4"/>
    </w:pPr>
    <w:rPr>
      <w:rFonts w:ascii="宋体" w:hAnsi="宋体" w:cs="宋体"/>
      <w:kern w:val="0"/>
      <w:sz w:val="33"/>
      <w:szCs w:val="33"/>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4"/>
    <w:qFormat/>
    <w:uiPriority w:val="1"/>
    <w:pPr>
      <w:autoSpaceDE w:val="0"/>
      <w:autoSpaceDN w:val="0"/>
      <w:jc w:val="left"/>
    </w:pPr>
    <w:rPr>
      <w:rFonts w:ascii="宋体" w:hAnsi="宋体" w:cs="宋体"/>
      <w:kern w:val="0"/>
      <w:szCs w:val="32"/>
      <w:lang w:eastAsia="en-US"/>
    </w:rPr>
  </w:style>
  <w:style w:type="paragraph" w:styleId="7">
    <w:name w:val="Balloon Text"/>
    <w:basedOn w:val="1"/>
    <w:link w:val="21"/>
    <w:semiHidden/>
    <w:unhideWhenUsed/>
    <w:uiPriority w:val="99"/>
    <w:rPr>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sz w:val="18"/>
      <w:szCs w:val="18"/>
      <w:lang w:val="zh-CN"/>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lang w:val="zh-CN"/>
    </w:rPr>
  </w:style>
  <w:style w:type="table" w:styleId="11">
    <w:name w:val="Table Grid"/>
    <w:basedOn w:val="10"/>
    <w:uiPriority w:val="0"/>
    <w:pPr>
      <w:widowControl w:val="0"/>
      <w:autoSpaceDE w:val="0"/>
      <w:autoSpaceDN w:val="0"/>
      <w:snapToGrid w:val="0"/>
      <w:spacing w:line="590" w:lineRule="atLeast"/>
      <w:ind w:firstLine="624"/>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semiHidden/>
    <w:unhideWhenUsed/>
    <w:uiPriority w:val="99"/>
    <w:rPr>
      <w:color w:val="954F72"/>
      <w:u w:val="single"/>
    </w:rPr>
  </w:style>
  <w:style w:type="character" w:styleId="15">
    <w:name w:val="Hyperlink"/>
    <w:basedOn w:val="12"/>
    <w:semiHidden/>
    <w:unhideWhenUsed/>
    <w:qFormat/>
    <w:uiPriority w:val="99"/>
    <w:rPr>
      <w:color w:val="0563C1"/>
      <w:u w:val="single"/>
    </w:rPr>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7">
    <w:name w:val="列出段落1"/>
    <w:basedOn w:val="1"/>
    <w:qFormat/>
    <w:uiPriority w:val="34"/>
    <w:pPr>
      <w:ind w:firstLine="420" w:firstLineChars="200"/>
    </w:pPr>
    <w:rPr>
      <w:rFonts w:ascii="Cambria" w:hAnsi="Cambria"/>
      <w:sz w:val="24"/>
    </w:rPr>
  </w:style>
  <w:style w:type="paragraph" w:customStyle="1" w:styleId="18">
    <w:name w:val="附件栏"/>
    <w:basedOn w:val="1"/>
    <w:qFormat/>
    <w:uiPriority w:val="0"/>
    <w:pPr>
      <w:autoSpaceDE w:val="0"/>
      <w:autoSpaceDN w:val="0"/>
      <w:snapToGrid w:val="0"/>
      <w:spacing w:line="590" w:lineRule="atLeast"/>
      <w:ind w:firstLine="624"/>
    </w:pPr>
    <w:rPr>
      <w:rFonts w:eastAsia="方正仿宋_GBK"/>
      <w:kern w:val="0"/>
      <w:szCs w:val="20"/>
    </w:rPr>
  </w:style>
  <w:style w:type="character" w:customStyle="1" w:styleId="19">
    <w:name w:val="页眉 Char"/>
    <w:basedOn w:val="12"/>
    <w:link w:val="9"/>
    <w:qFormat/>
    <w:uiPriority w:val="99"/>
    <w:rPr>
      <w:rFonts w:ascii="Times New Roman" w:hAnsi="Times New Roman" w:eastAsia="宋体" w:cs="Times New Roman"/>
      <w:sz w:val="18"/>
      <w:szCs w:val="18"/>
      <w:lang w:val="zh-CN" w:eastAsia="zh-CN"/>
    </w:rPr>
  </w:style>
  <w:style w:type="character" w:customStyle="1" w:styleId="20">
    <w:name w:val="页脚 Char"/>
    <w:basedOn w:val="12"/>
    <w:link w:val="8"/>
    <w:qFormat/>
    <w:uiPriority w:val="99"/>
    <w:rPr>
      <w:rFonts w:ascii="Times New Roman" w:hAnsi="Times New Roman" w:eastAsia="宋体" w:cs="Times New Roman"/>
      <w:sz w:val="18"/>
      <w:szCs w:val="18"/>
      <w:lang w:val="zh-CN" w:eastAsia="zh-CN"/>
    </w:rPr>
  </w:style>
  <w:style w:type="character" w:customStyle="1" w:styleId="21">
    <w:name w:val="批注框文本 Char"/>
    <w:basedOn w:val="12"/>
    <w:link w:val="7"/>
    <w:semiHidden/>
    <w:uiPriority w:val="99"/>
    <w:rPr>
      <w:rFonts w:ascii="Times New Roman" w:hAnsi="Times New Roman" w:eastAsia="宋体" w:cs="Times New Roman"/>
      <w:sz w:val="18"/>
      <w:szCs w:val="18"/>
      <w:lang w:val="zh-CN" w:eastAsia="zh-CN"/>
    </w:rPr>
  </w:style>
  <w:style w:type="character" w:customStyle="1" w:styleId="22">
    <w:name w:val="标题 4 Char"/>
    <w:basedOn w:val="12"/>
    <w:link w:val="4"/>
    <w:qFormat/>
    <w:uiPriority w:val="9"/>
    <w:rPr>
      <w:rFonts w:ascii="宋体" w:hAnsi="宋体" w:cs="宋体"/>
      <w:sz w:val="36"/>
      <w:szCs w:val="36"/>
      <w:lang w:eastAsia="en-US"/>
    </w:rPr>
  </w:style>
  <w:style w:type="character" w:customStyle="1" w:styleId="23">
    <w:name w:val="标题 5 Char"/>
    <w:basedOn w:val="12"/>
    <w:link w:val="5"/>
    <w:qFormat/>
    <w:uiPriority w:val="9"/>
    <w:rPr>
      <w:rFonts w:ascii="宋体" w:hAnsi="宋体" w:cs="宋体"/>
      <w:sz w:val="33"/>
      <w:szCs w:val="33"/>
      <w:lang w:eastAsia="en-US"/>
    </w:rPr>
  </w:style>
  <w:style w:type="character" w:customStyle="1" w:styleId="24">
    <w:name w:val="正文文本 Char"/>
    <w:basedOn w:val="12"/>
    <w:link w:val="6"/>
    <w:qFormat/>
    <w:uiPriority w:val="1"/>
    <w:rPr>
      <w:rFonts w:ascii="宋体" w:hAnsi="宋体" w:cs="宋体"/>
      <w:sz w:val="32"/>
      <w:szCs w:val="32"/>
      <w:lang w:eastAsia="en-US"/>
    </w:rPr>
  </w:style>
  <w:style w:type="character" w:customStyle="1" w:styleId="25">
    <w:name w:val="标题 1 Char"/>
    <w:basedOn w:val="12"/>
    <w:link w:val="2"/>
    <w:uiPriority w:val="9"/>
    <w:rPr>
      <w:rFonts w:ascii="Times New Roman" w:hAnsi="Times New Roman"/>
      <w:b/>
      <w:bCs/>
      <w:kern w:val="44"/>
      <w:sz w:val="44"/>
      <w:szCs w:val="44"/>
    </w:rPr>
  </w:style>
  <w:style w:type="character" w:customStyle="1" w:styleId="26">
    <w:name w:val="标题 2 Char"/>
    <w:basedOn w:val="12"/>
    <w:link w:val="3"/>
    <w:semiHidden/>
    <w:uiPriority w:val="9"/>
    <w:rPr>
      <w:rFonts w:asciiTheme="majorHAnsi" w:hAnsiTheme="majorHAnsi" w:eastAsiaTheme="majorEastAsia" w:cstheme="majorBidi"/>
      <w:b/>
      <w:bCs/>
      <w:kern w:val="2"/>
      <w:sz w:val="32"/>
      <w:szCs w:val="32"/>
    </w:rPr>
  </w:style>
  <w:style w:type="paragraph" w:customStyle="1" w:styleId="2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3"/>
    <w:basedOn w:val="1"/>
    <w:uiPriority w:val="0"/>
    <w:pPr>
      <w:widowControl/>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30">
    <w:name w:val="xl64"/>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1">
    <w:name w:val="xl6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32">
    <w:name w:val="xl6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33">
    <w:name w:val="xl6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34">
    <w:name w:val="xl6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35">
    <w:name w:val="xl69"/>
    <w:basedOn w:val="1"/>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36">
    <w:name w:val="xl70"/>
    <w:basedOn w:val="1"/>
    <w:uiPriority w:val="0"/>
    <w:pPr>
      <w:widowControl/>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37">
    <w:name w:val="xl71"/>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8">
    <w:name w:val="xl72"/>
    <w:basedOn w:val="1"/>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9">
    <w:name w:val="xl73"/>
    <w:basedOn w:val="1"/>
    <w:uiPriority w:val="0"/>
    <w:pPr>
      <w:widowControl/>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40">
    <w:name w:val="xl74"/>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1">
    <w:name w:val="xl75"/>
    <w:basedOn w:val="1"/>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2">
    <w:name w:val="xl76"/>
    <w:basedOn w:val="1"/>
    <w:uiPriority w:val="0"/>
    <w:pPr>
      <w:widowControl/>
      <w:pBdr>
        <w:top w:val="single" w:color="000000" w:sz="4" w:space="0"/>
      </w:pBdr>
      <w:spacing w:before="100" w:beforeAutospacing="1" w:after="100" w:afterAutospacing="1"/>
      <w:jc w:val="left"/>
    </w:pPr>
    <w:rPr>
      <w:rFonts w:ascii="宋体" w:hAnsi="宋体" w:cs="宋体"/>
      <w:kern w:val="0"/>
      <w:sz w:val="24"/>
    </w:rPr>
  </w:style>
  <w:style w:type="paragraph" w:styleId="4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2410B-100F-408B-AC09-DCD008114AF6}">
  <ds:schemaRefs/>
</ds:datastoreItem>
</file>

<file path=docProps/app.xml><?xml version="1.0" encoding="utf-8"?>
<Properties xmlns="http://schemas.openxmlformats.org/officeDocument/2006/extended-properties" xmlns:vt="http://schemas.openxmlformats.org/officeDocument/2006/docPropsVTypes">
  <Template>Normal.dotm</Template>
  <Company>栖霞区财政局</Company>
  <Pages>26</Pages>
  <Words>2124</Words>
  <Characters>12113</Characters>
  <Lines>100</Lines>
  <Paragraphs>28</Paragraphs>
  <TotalTime>2</TotalTime>
  <ScaleCrop>false</ScaleCrop>
  <LinksUpToDate>false</LinksUpToDate>
  <CharactersWithSpaces>14209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2021-01-28T07:02:00Z</dcterms:created>
  <dc:creator>姚道远</dc:creator>
  <cp:lastModifiedBy>Administrator</cp:lastModifiedBy>
  <cp:lastPrinted>2021-01-29T02:56:00Z</cp:lastPrinted>
  <dcterms:modified xsi:type="dcterms:W3CDTF">2021-05-14T02:24:32Z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